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03DA" w:rsidRPr="00A77CD7" w:rsidRDefault="00B303DA" w:rsidP="00B303DA">
      <w:pPr>
        <w:pStyle w:val="Header"/>
        <w:tabs>
          <w:tab w:val="clear" w:pos="4153"/>
          <w:tab w:val="clear" w:pos="8306"/>
          <w:tab w:val="right" w:pos="9356"/>
          <w:tab w:val="right" w:pos="10206"/>
        </w:tabs>
        <w:spacing w:after="0"/>
        <w:contextualSpacing/>
        <w:rPr>
          <w:rFonts w:ascii="Arial" w:hAnsi="Arial" w:cs="Arial"/>
          <w:b/>
          <w:i/>
          <w:sz w:val="22"/>
          <w:szCs w:val="22"/>
        </w:rPr>
      </w:pPr>
      <w:r w:rsidRPr="00A77CD7">
        <w:rPr>
          <w:rFonts w:ascii="Arial" w:hAnsi="Arial" w:cs="Arial"/>
          <w:b/>
          <w:sz w:val="22"/>
          <w:szCs w:val="22"/>
        </w:rPr>
        <w:t xml:space="preserve">TSG-RAN Working Group 4 (Radio) meeting </w:t>
      </w:r>
      <w:proofErr w:type="gramStart"/>
      <w:r w:rsidRPr="00A77CD7">
        <w:rPr>
          <w:rFonts w:ascii="Arial" w:hAnsi="Arial" w:cs="Arial"/>
          <w:b/>
          <w:sz w:val="22"/>
          <w:szCs w:val="22"/>
        </w:rPr>
        <w:t>#</w:t>
      </w:r>
      <w:r w:rsidR="00841278">
        <w:rPr>
          <w:rFonts w:ascii="Arial" w:hAnsi="Arial" w:cs="Arial"/>
          <w:b/>
          <w:sz w:val="22"/>
          <w:szCs w:val="22"/>
        </w:rPr>
        <w:t>6</w:t>
      </w:r>
      <w:r w:rsidR="008A7016">
        <w:rPr>
          <w:rFonts w:ascii="Arial" w:hAnsi="Arial" w:cs="Arial"/>
          <w:b/>
          <w:sz w:val="22"/>
          <w:szCs w:val="22"/>
        </w:rPr>
        <w:t>6</w:t>
      </w:r>
      <w:r w:rsidRPr="00A77CD7">
        <w:rPr>
          <w:rFonts w:ascii="Arial" w:hAnsi="Arial" w:cs="Arial"/>
          <w:b/>
          <w:i/>
          <w:sz w:val="22"/>
          <w:szCs w:val="22"/>
        </w:rPr>
        <w:tab/>
      </w:r>
      <w:r w:rsidRPr="00A77CD7">
        <w:rPr>
          <w:rFonts w:ascii="Arial" w:hAnsi="Arial" w:cs="Arial"/>
          <w:b/>
          <w:iCs/>
          <w:sz w:val="22"/>
          <w:szCs w:val="22"/>
        </w:rPr>
        <w:t>R4-1</w:t>
      </w:r>
      <w:r w:rsidR="008A7016">
        <w:rPr>
          <w:rFonts w:ascii="Arial" w:hAnsi="Arial" w:cs="Arial"/>
          <w:b/>
          <w:iCs/>
          <w:sz w:val="22"/>
          <w:szCs w:val="22"/>
        </w:rPr>
        <w:t>3</w:t>
      </w:r>
      <w:r w:rsidR="00F941F5">
        <w:rPr>
          <w:rFonts w:ascii="Arial" w:hAnsi="Arial" w:cs="Arial"/>
          <w:b/>
          <w:iCs/>
          <w:sz w:val="22"/>
          <w:szCs w:val="22"/>
        </w:rPr>
        <w:t>016</w:t>
      </w:r>
      <w:r w:rsidR="008039DD">
        <w:rPr>
          <w:rFonts w:ascii="Arial" w:hAnsi="Arial" w:cs="Arial"/>
          <w:b/>
          <w:iCs/>
          <w:sz w:val="22"/>
          <w:szCs w:val="22"/>
        </w:rPr>
        <w:t>8</w:t>
      </w:r>
      <w:proofErr w:type="gramEnd"/>
    </w:p>
    <w:p w:rsidR="00B303DA" w:rsidRPr="00A77CD7" w:rsidRDefault="008A7016" w:rsidP="00B303DA">
      <w:pPr>
        <w:pStyle w:val="Header"/>
        <w:tabs>
          <w:tab w:val="right" w:pos="10206"/>
        </w:tabs>
        <w:spacing w:after="0"/>
        <w:contextualSpacing/>
        <w:rPr>
          <w:rFonts w:ascii="Arial" w:hAnsi="Arial" w:cs="Arial"/>
          <w:b/>
          <w:sz w:val="22"/>
          <w:szCs w:val="22"/>
        </w:rPr>
      </w:pPr>
      <w:r>
        <w:rPr>
          <w:rFonts w:ascii="Arial" w:hAnsi="Arial" w:cs="Arial"/>
          <w:b/>
          <w:sz w:val="22"/>
          <w:szCs w:val="22"/>
        </w:rPr>
        <w:t>Malta</w:t>
      </w:r>
      <w:r w:rsidR="00B303DA" w:rsidRPr="00A77CD7">
        <w:rPr>
          <w:rFonts w:ascii="Arial" w:hAnsi="Arial" w:cs="Arial"/>
          <w:b/>
          <w:sz w:val="22"/>
          <w:szCs w:val="22"/>
        </w:rPr>
        <w:t xml:space="preserve">, </w:t>
      </w:r>
      <w:r w:rsidR="002C572C">
        <w:rPr>
          <w:rFonts w:ascii="Arial" w:hAnsi="Arial" w:cs="Arial"/>
          <w:b/>
          <w:sz w:val="22"/>
          <w:szCs w:val="22"/>
        </w:rPr>
        <w:t xml:space="preserve">28 January - </w:t>
      </w:r>
      <w:r>
        <w:rPr>
          <w:rFonts w:ascii="Arial" w:hAnsi="Arial" w:cs="Arial"/>
          <w:b/>
          <w:sz w:val="22"/>
          <w:szCs w:val="22"/>
        </w:rPr>
        <w:t>1 February 2013</w:t>
      </w:r>
    </w:p>
    <w:p w:rsidR="00B303DA" w:rsidRDefault="00B303DA">
      <w:pPr>
        <w:spacing w:after="120"/>
        <w:ind w:left="1985" w:hanging="1985"/>
        <w:rPr>
          <w:rFonts w:ascii="Arial" w:hAnsi="Arial" w:cs="Arial"/>
          <w:b/>
        </w:rPr>
      </w:pPr>
    </w:p>
    <w:p w:rsidR="00B303DA" w:rsidRPr="00DE0646" w:rsidRDefault="00B303DA">
      <w:pPr>
        <w:spacing w:after="120"/>
        <w:ind w:left="1985" w:hanging="1985"/>
        <w:rPr>
          <w:rFonts w:ascii="Arial" w:hAnsi="Arial" w:cs="Arial"/>
          <w:bCs/>
        </w:rPr>
      </w:pPr>
      <w:r>
        <w:rPr>
          <w:rFonts w:ascii="Arial" w:hAnsi="Arial" w:cs="Arial"/>
          <w:b/>
        </w:rPr>
        <w:t>Source:</w:t>
      </w:r>
      <w:r>
        <w:rPr>
          <w:rFonts w:ascii="Arial" w:hAnsi="Arial" w:cs="Arial"/>
          <w:b/>
        </w:rPr>
        <w:tab/>
      </w:r>
      <w:r w:rsidRPr="00DE0646">
        <w:rPr>
          <w:rFonts w:ascii="Arial" w:hAnsi="Arial" w:cs="Arial"/>
          <w:bCs/>
        </w:rPr>
        <w:t>TruePosition</w:t>
      </w:r>
    </w:p>
    <w:p w:rsidR="00B303DA" w:rsidRDefault="00B303DA">
      <w:pPr>
        <w:spacing w:after="120"/>
        <w:ind w:left="1985" w:hanging="1985"/>
        <w:rPr>
          <w:rFonts w:ascii="Arial" w:hAnsi="Arial" w:cs="Arial"/>
          <w:bCs/>
          <w:color w:val="FF0000"/>
        </w:rPr>
      </w:pPr>
      <w:r>
        <w:rPr>
          <w:rFonts w:ascii="Arial" w:hAnsi="Arial" w:cs="Arial"/>
          <w:b/>
        </w:rPr>
        <w:t>Title:</w:t>
      </w:r>
      <w:r>
        <w:rPr>
          <w:rFonts w:ascii="Arial" w:hAnsi="Arial" w:cs="Arial"/>
          <w:b/>
        </w:rPr>
        <w:tab/>
      </w:r>
      <w:r w:rsidR="00F941F5">
        <w:rPr>
          <w:rFonts w:ascii="Calibri" w:hAnsi="Calibri" w:cs="Calibri"/>
          <w:sz w:val="22"/>
          <w:szCs w:val="22"/>
        </w:rPr>
        <w:t>UTDOA Si</w:t>
      </w:r>
      <w:r w:rsidR="001D27FB">
        <w:rPr>
          <w:rFonts w:ascii="Calibri" w:hAnsi="Calibri" w:cs="Calibri"/>
          <w:sz w:val="22"/>
          <w:szCs w:val="22"/>
        </w:rPr>
        <w:t>mulation Results</w:t>
      </w:r>
      <w:r w:rsidR="00F941F5">
        <w:rPr>
          <w:rFonts w:ascii="Calibri" w:hAnsi="Calibri" w:cs="Calibri"/>
          <w:sz w:val="22"/>
          <w:szCs w:val="22"/>
        </w:rPr>
        <w:t xml:space="preserve"> (TS 36.111 Section 5 LMU RF Req)</w:t>
      </w:r>
    </w:p>
    <w:p w:rsidR="00B303DA" w:rsidRPr="00DE0646" w:rsidRDefault="00B303DA">
      <w:pPr>
        <w:spacing w:after="120"/>
        <w:ind w:left="1985" w:hanging="1985"/>
        <w:rPr>
          <w:rFonts w:ascii="Arial" w:hAnsi="Arial" w:cs="Arial"/>
          <w:bCs/>
        </w:rPr>
      </w:pPr>
      <w:r>
        <w:rPr>
          <w:rFonts w:ascii="Arial" w:hAnsi="Arial" w:cs="Arial"/>
          <w:b/>
        </w:rPr>
        <w:t>Agenda item:</w:t>
      </w:r>
      <w:r>
        <w:rPr>
          <w:rFonts w:ascii="Arial" w:hAnsi="Arial" w:cs="Arial"/>
          <w:b/>
        </w:rPr>
        <w:tab/>
      </w:r>
      <w:r w:rsidRPr="00DE0646">
        <w:rPr>
          <w:rFonts w:ascii="Arial" w:hAnsi="Arial" w:cs="Arial"/>
          <w:bCs/>
        </w:rPr>
        <w:t>6.</w:t>
      </w:r>
      <w:r w:rsidR="0073638C">
        <w:rPr>
          <w:rFonts w:ascii="Arial" w:hAnsi="Arial" w:cs="Arial"/>
          <w:bCs/>
        </w:rPr>
        <w:t>9</w:t>
      </w:r>
      <w:r>
        <w:rPr>
          <w:rFonts w:ascii="Arial" w:hAnsi="Arial" w:cs="Arial"/>
          <w:bCs/>
        </w:rPr>
        <w:t>.1</w:t>
      </w:r>
    </w:p>
    <w:p w:rsidR="00B303DA" w:rsidRPr="00DE0646" w:rsidRDefault="00B303DA">
      <w:pPr>
        <w:spacing w:after="120"/>
        <w:ind w:left="1985" w:hanging="1985"/>
        <w:rPr>
          <w:rFonts w:ascii="Arial" w:hAnsi="Arial" w:cs="Arial"/>
          <w:bCs/>
        </w:rPr>
      </w:pPr>
      <w:r w:rsidRPr="00DE0646">
        <w:rPr>
          <w:rFonts w:ascii="Arial" w:hAnsi="Arial" w:cs="Arial"/>
          <w:b/>
        </w:rPr>
        <w:t>Document for:</w:t>
      </w:r>
      <w:r w:rsidRPr="00DE0646">
        <w:rPr>
          <w:rFonts w:ascii="Arial" w:hAnsi="Arial" w:cs="Arial"/>
          <w:b/>
        </w:rPr>
        <w:tab/>
      </w:r>
      <w:r w:rsidR="00BB251A" w:rsidRPr="00E736FC">
        <w:rPr>
          <w:rFonts w:ascii="Arial" w:hAnsi="Arial" w:cs="Arial"/>
          <w:bCs/>
          <w:sz w:val="18"/>
        </w:rPr>
        <w:t>Discussion</w:t>
      </w:r>
    </w:p>
    <w:p w:rsidR="00B303DA" w:rsidRDefault="00B303DA">
      <w:pPr>
        <w:pBdr>
          <w:bottom w:val="single" w:sz="4" w:space="1" w:color="auto"/>
        </w:pBdr>
        <w:rPr>
          <w:rFonts w:ascii="Arial" w:hAnsi="Arial" w:cs="Arial"/>
        </w:rPr>
      </w:pPr>
    </w:p>
    <w:p w:rsidR="00B303DA" w:rsidRPr="006F61C4" w:rsidRDefault="003F5A3C">
      <w:pPr>
        <w:rPr>
          <w:rFonts w:ascii="Arial" w:hAnsi="Arial" w:cs="Arial"/>
          <w:sz w:val="28"/>
          <w:szCs w:val="28"/>
        </w:rPr>
      </w:pPr>
      <w:r w:rsidRPr="006F61C4">
        <w:rPr>
          <w:rFonts w:ascii="Arial" w:hAnsi="Arial" w:cs="Arial"/>
          <w:sz w:val="28"/>
          <w:szCs w:val="28"/>
        </w:rPr>
        <w:t>1</w:t>
      </w:r>
      <w:r w:rsidRPr="006F61C4">
        <w:rPr>
          <w:rFonts w:ascii="Arial" w:hAnsi="Arial" w:cs="Arial"/>
          <w:sz w:val="28"/>
          <w:szCs w:val="28"/>
        </w:rPr>
        <w:tab/>
      </w:r>
      <w:r w:rsidR="00930181" w:rsidRPr="006F61C4">
        <w:rPr>
          <w:rFonts w:ascii="Arial" w:hAnsi="Arial" w:cs="Arial"/>
          <w:sz w:val="28"/>
          <w:szCs w:val="28"/>
        </w:rPr>
        <w:t>Introduction</w:t>
      </w:r>
    </w:p>
    <w:p w:rsidR="00525B4A" w:rsidRPr="00EA39D5" w:rsidRDefault="004D0F23">
      <w:r w:rsidRPr="00EA39D5">
        <w:t>During RAN 4 #64 in Qin</w:t>
      </w:r>
      <w:r w:rsidR="00E74D3D" w:rsidRPr="00EA39D5">
        <w:t>gdao</w:t>
      </w:r>
      <w:r w:rsidRPr="00EA39D5">
        <w:t>, China, a way forward was agreed upon that included running UE-LMU link level simulations</w:t>
      </w:r>
      <w:r w:rsidR="001D27FB">
        <w:t xml:space="preserve"> for the LMU’s RF characteristics</w:t>
      </w:r>
      <w:r w:rsidRPr="00EA39D5">
        <w:t xml:space="preserve">.  This contribution </w:t>
      </w:r>
      <w:r w:rsidR="001D27FB">
        <w:t xml:space="preserve">shows the results of those </w:t>
      </w:r>
      <w:proofErr w:type="gramStart"/>
      <w:r w:rsidR="001D27FB">
        <w:t>simulations</w:t>
      </w:r>
      <w:r w:rsidR="0024093F">
        <w:t>[</w:t>
      </w:r>
      <w:proofErr w:type="gramEnd"/>
      <w:r w:rsidR="0024093F">
        <w:t>4]</w:t>
      </w:r>
      <w:r w:rsidR="001D27FB">
        <w:t>.</w:t>
      </w:r>
      <w:r w:rsidRPr="00EA39D5">
        <w:t xml:space="preserve"> </w:t>
      </w:r>
    </w:p>
    <w:p w:rsidR="003F5A3C" w:rsidRDefault="003F5A3C" w:rsidP="003F5A3C">
      <w:pPr>
        <w:pBdr>
          <w:bottom w:val="single" w:sz="4" w:space="3" w:color="auto"/>
        </w:pBdr>
        <w:rPr>
          <w:rFonts w:ascii="Arial" w:hAnsi="Arial" w:cs="Arial"/>
        </w:rPr>
      </w:pPr>
    </w:p>
    <w:p w:rsidR="003F5A3C" w:rsidRPr="006F61C4" w:rsidRDefault="003F5A3C" w:rsidP="003F5A3C">
      <w:pPr>
        <w:rPr>
          <w:rFonts w:ascii="Arial" w:hAnsi="Arial" w:cs="Arial"/>
          <w:sz w:val="28"/>
          <w:szCs w:val="28"/>
        </w:rPr>
      </w:pPr>
      <w:r w:rsidRPr="006F61C4">
        <w:rPr>
          <w:rFonts w:ascii="Arial" w:hAnsi="Arial" w:cs="Arial"/>
          <w:sz w:val="28"/>
          <w:szCs w:val="28"/>
        </w:rPr>
        <w:t>2</w:t>
      </w:r>
      <w:r w:rsidRPr="006F61C4">
        <w:rPr>
          <w:rFonts w:ascii="Arial" w:hAnsi="Arial" w:cs="Arial"/>
          <w:sz w:val="28"/>
          <w:szCs w:val="28"/>
        </w:rPr>
        <w:tab/>
        <w:t>Discussion</w:t>
      </w:r>
    </w:p>
    <w:p w:rsidR="0042449D" w:rsidRPr="00EA39D5" w:rsidRDefault="00F36546">
      <w:r w:rsidRPr="00EA39D5">
        <w:t xml:space="preserve">The purpose of having requirements </w:t>
      </w:r>
      <w:r w:rsidR="00E74D3D" w:rsidRPr="00EA39D5">
        <w:t>for the receiver characteristics as in section</w:t>
      </w:r>
      <w:r w:rsidR="00696F09" w:rsidRPr="00EA39D5">
        <w:t xml:space="preserve"> 5 of TS 36.111[1] </w:t>
      </w:r>
      <w:r w:rsidRPr="00EA39D5">
        <w:t xml:space="preserve">is to ensure that the performance of the LMU RF receiver </w:t>
      </w:r>
      <w:r w:rsidR="00E74D3D" w:rsidRPr="00EA39D5">
        <w:t>is</w:t>
      </w:r>
      <w:r w:rsidRPr="00EA39D5">
        <w:t xml:space="preserve"> adequate to support the successful measurements </w:t>
      </w:r>
      <w:r w:rsidR="0042449D" w:rsidRPr="00EA39D5">
        <w:t>of an UE’s UL RTOA</w:t>
      </w:r>
      <w:r w:rsidRPr="00EA39D5">
        <w:t>.</w:t>
      </w:r>
      <w:r w:rsidR="00E74D3D" w:rsidRPr="00EA39D5">
        <w:t xml:space="preserve">  </w:t>
      </w:r>
      <w:r w:rsidR="0042449D" w:rsidRPr="00EA39D5">
        <w:t xml:space="preserve"> </w:t>
      </w:r>
      <w:r w:rsidR="001D27FB">
        <w:t>The following simulations have been run to investigate the LMU’s RF characteristics</w:t>
      </w:r>
      <w:r w:rsidR="0042449D" w:rsidRPr="00EA39D5">
        <w:t>:</w:t>
      </w:r>
    </w:p>
    <w:p w:rsidR="0042449D" w:rsidRPr="00EA39D5" w:rsidRDefault="0042449D" w:rsidP="0042449D">
      <w:pPr>
        <w:numPr>
          <w:ilvl w:val="0"/>
          <w:numId w:val="6"/>
        </w:numPr>
      </w:pPr>
      <w:r w:rsidRPr="00EA39D5">
        <w:t>Sensitivity</w:t>
      </w:r>
    </w:p>
    <w:p w:rsidR="0042449D" w:rsidRPr="00EA39D5" w:rsidRDefault="0042449D" w:rsidP="0042449D">
      <w:pPr>
        <w:numPr>
          <w:ilvl w:val="0"/>
          <w:numId w:val="6"/>
        </w:numPr>
      </w:pPr>
      <w:r w:rsidRPr="00EA39D5">
        <w:t>Dynamic Range</w:t>
      </w:r>
    </w:p>
    <w:p w:rsidR="0042449D" w:rsidRPr="00EA39D5" w:rsidRDefault="0042449D" w:rsidP="0042449D">
      <w:pPr>
        <w:numPr>
          <w:ilvl w:val="0"/>
          <w:numId w:val="6"/>
        </w:numPr>
      </w:pPr>
      <w:r w:rsidRPr="00EA39D5">
        <w:t>Adjacent channel selectivity</w:t>
      </w:r>
    </w:p>
    <w:p w:rsidR="0042449D" w:rsidRPr="00EA39D5" w:rsidRDefault="0042449D" w:rsidP="0042449D">
      <w:pPr>
        <w:numPr>
          <w:ilvl w:val="0"/>
          <w:numId w:val="6"/>
        </w:numPr>
      </w:pPr>
      <w:r w:rsidRPr="00EA39D5">
        <w:t>Blocking characteristics</w:t>
      </w:r>
    </w:p>
    <w:p w:rsidR="0042449D" w:rsidRPr="00EA39D5" w:rsidRDefault="00050D2E" w:rsidP="001D27FB">
      <w:pPr>
        <w:numPr>
          <w:ilvl w:val="0"/>
          <w:numId w:val="6"/>
        </w:numPr>
      </w:pPr>
      <w:r>
        <w:t>Inter</w:t>
      </w:r>
      <w:r w:rsidR="0042449D" w:rsidRPr="00EA39D5">
        <w:t>modulation</w:t>
      </w:r>
    </w:p>
    <w:p w:rsidR="00BE2C4B" w:rsidRPr="009B6A31" w:rsidRDefault="001D27FB" w:rsidP="0042449D">
      <w:r>
        <w:t>The simulation parameters are discussed in R4-130165</w:t>
      </w:r>
      <w:r w:rsidR="008A7016" w:rsidRPr="00EA39D5">
        <w:t>.</w:t>
      </w:r>
      <w:r w:rsidR="00A05F0A">
        <w:t xml:space="preserve">  For the purpose of discussion the metric chosen to illustrate the LMU’s characteristics is the 90% probability of detection with the detection threshold set to yield a 0.5% false alarm rate</w:t>
      </w:r>
      <w:r w:rsidR="0024093F">
        <w:t xml:space="preserve"> with noise only inputs</w:t>
      </w:r>
      <w:r w:rsidR="00A05F0A">
        <w:t>.</w:t>
      </w:r>
      <w:r w:rsidR="00BE2C4B" w:rsidRPr="00EA39D5">
        <w:t xml:space="preserve"> </w:t>
      </w:r>
    </w:p>
    <w:p w:rsidR="006E06D5" w:rsidRDefault="00F95BF3" w:rsidP="00110898">
      <w:pPr>
        <w:rPr>
          <w:rFonts w:ascii="Arial" w:hAnsi="Arial" w:cs="Arial"/>
          <w:sz w:val="24"/>
          <w:szCs w:val="24"/>
        </w:rPr>
      </w:pPr>
      <w:r w:rsidRPr="00F95BF3">
        <w:rPr>
          <w:rFonts w:ascii="Arial" w:hAnsi="Arial" w:cs="Arial"/>
          <w:sz w:val="24"/>
          <w:szCs w:val="24"/>
        </w:rPr>
        <w:t>2.1</w:t>
      </w:r>
      <w:r w:rsidR="00425C49">
        <w:rPr>
          <w:rFonts w:ascii="Arial" w:hAnsi="Arial" w:cs="Arial"/>
          <w:sz w:val="24"/>
          <w:szCs w:val="24"/>
        </w:rPr>
        <w:tab/>
      </w:r>
      <w:r w:rsidR="006E06D5">
        <w:rPr>
          <w:rFonts w:ascii="Arial" w:hAnsi="Arial" w:cs="Arial"/>
          <w:sz w:val="24"/>
          <w:szCs w:val="24"/>
        </w:rPr>
        <w:t>Received SINR</w:t>
      </w:r>
      <w:r w:rsidRPr="00F95BF3">
        <w:rPr>
          <w:rFonts w:ascii="Arial" w:hAnsi="Arial" w:cs="Arial"/>
          <w:sz w:val="24"/>
          <w:szCs w:val="24"/>
        </w:rPr>
        <w:t xml:space="preserve"> </w:t>
      </w:r>
      <w:r w:rsidRPr="00F95BF3">
        <w:rPr>
          <w:rFonts w:ascii="Arial" w:hAnsi="Arial" w:cs="Arial"/>
          <w:sz w:val="24"/>
          <w:szCs w:val="24"/>
        </w:rPr>
        <w:tab/>
      </w:r>
    </w:p>
    <w:p w:rsidR="00F941F5" w:rsidRDefault="001220D9" w:rsidP="00F941F5">
      <w:r>
        <w:t>Figure 2.1</w:t>
      </w:r>
      <w:r w:rsidR="001D27FB">
        <w:t xml:space="preserve"> below shows the LMU’s probability of detection versus SINR for 100 transmissions of a full-band SRS for each of the supported channel bandwidths</w:t>
      </w:r>
      <w:r w:rsidR="00AA506F">
        <w:t>.</w:t>
      </w:r>
      <w:r w:rsidR="001D27FB">
        <w:t xml:space="preserve">  The supported channel bandwidths ar</w:t>
      </w:r>
      <w:r>
        <w:t>e 1.4, 3, 5, 10, 15 and 20 MHz.  The 90% probability of detection for each of the channel bandwidths are listed in Table 2.1.</w:t>
      </w:r>
    </w:p>
    <w:tbl>
      <w:tblPr>
        <w:tblpPr w:leftFromText="180" w:rightFromText="180" w:vertAnchor="text" w:horzAnchor="margin" w:tblpXSpec="center" w:tblpY="193"/>
        <w:tblW w:w="6981" w:type="dxa"/>
        <w:tblLook w:val="04A0" w:firstRow="1" w:lastRow="0" w:firstColumn="1" w:lastColumn="0" w:noHBand="0" w:noVBand="1"/>
      </w:tblPr>
      <w:tblGrid>
        <w:gridCol w:w="1711"/>
        <w:gridCol w:w="1738"/>
        <w:gridCol w:w="1738"/>
        <w:gridCol w:w="1794"/>
      </w:tblGrid>
      <w:tr w:rsidR="00A05F0A" w:rsidRPr="00C13338" w:rsidTr="00A05F0A">
        <w:trPr>
          <w:trHeight w:val="323"/>
        </w:trPr>
        <w:tc>
          <w:tcPr>
            <w:tcW w:w="698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A05F0A" w:rsidRPr="00C13338"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2.1 Required SINR for 90% detection rate</w:t>
            </w:r>
          </w:p>
        </w:tc>
      </w:tr>
      <w:tr w:rsidR="00A05F0A" w:rsidRPr="00C13338" w:rsidTr="00A05F0A">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A05F0A" w:rsidRPr="00C13338"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738" w:type="dxa"/>
            <w:tcBorders>
              <w:top w:val="single" w:sz="4" w:space="0" w:color="auto"/>
              <w:left w:val="nil"/>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Allocated RBs for SRS</w:t>
            </w:r>
          </w:p>
        </w:tc>
        <w:tc>
          <w:tcPr>
            <w:tcW w:w="1738"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c>
          <w:tcPr>
            <w:tcW w:w="1794" w:type="dxa"/>
            <w:tcBorders>
              <w:top w:val="single" w:sz="4" w:space="0" w:color="auto"/>
              <w:left w:val="single" w:sz="4" w:space="0" w:color="auto"/>
              <w:bottom w:val="single" w:sz="4" w:space="0" w:color="auto"/>
              <w:right w:val="single" w:sz="4" w:space="0" w:color="auto"/>
            </w:tcBorders>
            <w:vAlign w:val="center"/>
          </w:tcPr>
          <w:p w:rsidR="00A05F0A" w:rsidRPr="001220D9"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SINR [dB]</w:t>
            </w:r>
          </w:p>
        </w:tc>
      </w:tr>
      <w:tr w:rsidR="00A05F0A" w:rsidRPr="00C13338" w:rsidTr="00A05F0A">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A05F0A" w:rsidRPr="00C13338"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738" w:type="dxa"/>
            <w:tcBorders>
              <w:top w:val="single" w:sz="4" w:space="0" w:color="auto"/>
              <w:left w:val="nil"/>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738"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-21.1</w:t>
            </w:r>
          </w:p>
        </w:tc>
      </w:tr>
      <w:tr w:rsidR="00A05F0A" w:rsidRPr="00C13338" w:rsidTr="00A05F0A">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A05F0A" w:rsidRPr="00C13338"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738" w:type="dxa"/>
            <w:tcBorders>
              <w:top w:val="single" w:sz="4" w:space="0" w:color="auto"/>
              <w:left w:val="nil"/>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738"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-24.7</w:t>
            </w:r>
          </w:p>
        </w:tc>
      </w:tr>
      <w:tr w:rsidR="00A05F0A" w:rsidRPr="00C13338" w:rsidTr="00A05F0A">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5F0A" w:rsidRPr="00C13338"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738" w:type="dxa"/>
            <w:tcBorders>
              <w:top w:val="single" w:sz="4" w:space="0" w:color="auto"/>
              <w:left w:val="nil"/>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738"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-26.7</w:t>
            </w:r>
          </w:p>
        </w:tc>
      </w:tr>
      <w:tr w:rsidR="00A05F0A" w:rsidRPr="00C13338" w:rsidTr="00A05F0A">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738" w:type="dxa"/>
            <w:tcBorders>
              <w:top w:val="single" w:sz="4" w:space="0" w:color="auto"/>
              <w:left w:val="nil"/>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738"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-29.5</w:t>
            </w:r>
          </w:p>
        </w:tc>
      </w:tr>
      <w:tr w:rsidR="00A05F0A" w:rsidRPr="00C13338" w:rsidTr="00A05F0A">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738" w:type="dxa"/>
            <w:tcBorders>
              <w:top w:val="single" w:sz="4" w:space="0" w:color="auto"/>
              <w:left w:val="nil"/>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738"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-31.2</w:t>
            </w:r>
          </w:p>
        </w:tc>
      </w:tr>
      <w:tr w:rsidR="00A05F0A" w:rsidRPr="00C13338" w:rsidTr="00A05F0A">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738" w:type="dxa"/>
            <w:tcBorders>
              <w:top w:val="single" w:sz="4" w:space="0" w:color="auto"/>
              <w:left w:val="nil"/>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738"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5F0A" w:rsidRDefault="00A05F0A" w:rsidP="00A05F0A">
            <w:pPr>
              <w:spacing w:after="0"/>
              <w:jc w:val="center"/>
              <w:rPr>
                <w:rFonts w:ascii="Calibri" w:hAnsi="Calibri" w:cs="Calibri"/>
                <w:color w:val="000000"/>
                <w:sz w:val="18"/>
                <w:szCs w:val="18"/>
                <w:lang w:val="en-US"/>
              </w:rPr>
            </w:pPr>
            <w:r>
              <w:rPr>
                <w:rFonts w:ascii="Calibri" w:hAnsi="Calibri" w:cs="Calibri"/>
                <w:color w:val="000000"/>
                <w:sz w:val="18"/>
                <w:szCs w:val="18"/>
                <w:lang w:val="en-US"/>
              </w:rPr>
              <w:t>-32.5</w:t>
            </w:r>
          </w:p>
        </w:tc>
      </w:tr>
    </w:tbl>
    <w:p w:rsidR="001220D9" w:rsidRDefault="001220D9" w:rsidP="00F941F5"/>
    <w:p w:rsidR="001220D9" w:rsidRDefault="001220D9" w:rsidP="00F941F5"/>
    <w:p w:rsidR="00CF0C73" w:rsidRDefault="009B6A31" w:rsidP="001220D9">
      <w:pPr>
        <w:ind w:left="540"/>
      </w:pPr>
      <w:r>
        <w:rPr>
          <w:noProof/>
          <w:lang w:val="en-US"/>
        </w:rPr>
        <w:lastRenderedPageBreak/>
        <w:drawing>
          <wp:inline distT="0" distB="0" distL="0" distR="0">
            <wp:extent cx="5332730" cy="3942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F941F5" w:rsidRPr="001220D9" w:rsidRDefault="001220D9" w:rsidP="001220D9">
      <w:pPr>
        <w:jc w:val="center"/>
        <w:rPr>
          <w:b/>
          <w:sz w:val="18"/>
          <w:szCs w:val="18"/>
        </w:rPr>
      </w:pPr>
      <w:r w:rsidRPr="001220D9">
        <w:rPr>
          <w:b/>
          <w:sz w:val="18"/>
          <w:szCs w:val="18"/>
        </w:rPr>
        <w:t>Figure 2.1 Probability of Detection of 100 Transmissions of SRS</w:t>
      </w:r>
    </w:p>
    <w:p w:rsidR="00100439" w:rsidRDefault="00100439" w:rsidP="00110898">
      <w:pPr>
        <w:rPr>
          <w:sz w:val="18"/>
          <w:szCs w:val="18"/>
        </w:rPr>
      </w:pPr>
    </w:p>
    <w:p w:rsidR="006E06D5" w:rsidRDefault="006E06D5" w:rsidP="00110898">
      <w:pPr>
        <w:rPr>
          <w:rFonts w:ascii="Arial" w:hAnsi="Arial" w:cs="Arial"/>
          <w:sz w:val="24"/>
          <w:szCs w:val="24"/>
        </w:rPr>
      </w:pPr>
      <w:r>
        <w:rPr>
          <w:rFonts w:ascii="Arial" w:hAnsi="Arial" w:cs="Arial"/>
          <w:sz w:val="24"/>
          <w:szCs w:val="24"/>
        </w:rPr>
        <w:t>2.2</w:t>
      </w:r>
      <w:r>
        <w:rPr>
          <w:rFonts w:ascii="Arial" w:hAnsi="Arial" w:cs="Arial"/>
          <w:sz w:val="24"/>
          <w:szCs w:val="24"/>
        </w:rPr>
        <w:tab/>
        <w:t>Reference Sensitivity</w:t>
      </w:r>
    </w:p>
    <w:p w:rsidR="00A031F9" w:rsidRDefault="00A031F9" w:rsidP="00A031F9">
      <w:r>
        <w:t xml:space="preserve">Figure 2.2 below shows the LMU’s reference sensitivity for 100 transmissions of a full-band SRS for each of the supported channel bandwidths.  Table 2.2 lists the reference sensitivity in dBm at 90% probability of detection for each of the channel bandwidths. </w:t>
      </w:r>
      <w:r w:rsidR="00A1315A">
        <w:t xml:space="preserve"> The values for the reference sensitivity for the supported channel bandwidths are within 1 dB of each other because the wider channel bandwidths have higher processing gain that compensates for the increase in thermal noise. </w:t>
      </w:r>
      <w:r>
        <w:t xml:space="preserve"> </w:t>
      </w:r>
    </w:p>
    <w:tbl>
      <w:tblPr>
        <w:tblpPr w:leftFromText="180" w:rightFromText="180" w:vertAnchor="text" w:horzAnchor="margin" w:tblpXSpec="center" w:tblpY="344"/>
        <w:tblW w:w="6981" w:type="dxa"/>
        <w:tblLook w:val="04A0" w:firstRow="1" w:lastRow="0" w:firstColumn="1" w:lastColumn="0" w:noHBand="0" w:noVBand="1"/>
      </w:tblPr>
      <w:tblGrid>
        <w:gridCol w:w="1711"/>
        <w:gridCol w:w="1738"/>
        <w:gridCol w:w="1738"/>
        <w:gridCol w:w="1794"/>
      </w:tblGrid>
      <w:tr w:rsidR="00A031F9" w:rsidRPr="00C13338" w:rsidTr="00A031F9">
        <w:trPr>
          <w:trHeight w:val="323"/>
        </w:trPr>
        <w:tc>
          <w:tcPr>
            <w:tcW w:w="698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A031F9" w:rsidRPr="00C13338"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2.2 Reference Sensitivity at 90% detection rate</w:t>
            </w:r>
          </w:p>
        </w:tc>
      </w:tr>
      <w:tr w:rsidR="00A031F9" w:rsidRPr="00C13338" w:rsidTr="00A031F9">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A031F9" w:rsidRPr="00C13338"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738" w:type="dxa"/>
            <w:tcBorders>
              <w:top w:val="single" w:sz="4" w:space="0" w:color="auto"/>
              <w:left w:val="nil"/>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Allocated RBs for SRS</w:t>
            </w:r>
          </w:p>
        </w:tc>
        <w:tc>
          <w:tcPr>
            <w:tcW w:w="1738"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c>
          <w:tcPr>
            <w:tcW w:w="1794" w:type="dxa"/>
            <w:tcBorders>
              <w:top w:val="single" w:sz="4" w:space="0" w:color="auto"/>
              <w:left w:val="single" w:sz="4" w:space="0" w:color="auto"/>
              <w:bottom w:val="single" w:sz="4" w:space="0" w:color="auto"/>
              <w:right w:val="single" w:sz="4" w:space="0" w:color="auto"/>
            </w:tcBorders>
            <w:vAlign w:val="center"/>
          </w:tcPr>
          <w:p w:rsidR="00A031F9" w:rsidRPr="001220D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Reference Sensitivity (REFSENS) [dBm]</w:t>
            </w:r>
          </w:p>
        </w:tc>
      </w:tr>
      <w:tr w:rsidR="00A031F9" w:rsidRPr="00C13338" w:rsidTr="00A031F9">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A031F9" w:rsidRPr="00C13338"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738" w:type="dxa"/>
            <w:tcBorders>
              <w:top w:val="single" w:sz="4" w:space="0" w:color="auto"/>
              <w:left w:val="nil"/>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738"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-129.6</w:t>
            </w:r>
          </w:p>
        </w:tc>
      </w:tr>
      <w:tr w:rsidR="00A031F9" w:rsidRPr="00C13338" w:rsidTr="00A031F9">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A031F9" w:rsidRPr="00C13338"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738" w:type="dxa"/>
            <w:tcBorders>
              <w:top w:val="single" w:sz="4" w:space="0" w:color="auto"/>
              <w:left w:val="nil"/>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738"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-129.4</w:t>
            </w:r>
          </w:p>
        </w:tc>
      </w:tr>
      <w:tr w:rsidR="00A031F9" w:rsidRPr="00C13338" w:rsidTr="00A031F9">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31F9" w:rsidRPr="00C13338"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738" w:type="dxa"/>
            <w:tcBorders>
              <w:top w:val="single" w:sz="4" w:space="0" w:color="auto"/>
              <w:left w:val="nil"/>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738"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-129.2</w:t>
            </w:r>
          </w:p>
        </w:tc>
      </w:tr>
      <w:tr w:rsidR="00A031F9" w:rsidRPr="00C13338" w:rsidTr="00A031F9">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738" w:type="dxa"/>
            <w:tcBorders>
              <w:top w:val="single" w:sz="4" w:space="0" w:color="auto"/>
              <w:left w:val="nil"/>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738"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-129.0</w:t>
            </w:r>
          </w:p>
        </w:tc>
      </w:tr>
      <w:tr w:rsidR="00A031F9" w:rsidRPr="00C13338" w:rsidTr="00A031F9">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738" w:type="dxa"/>
            <w:tcBorders>
              <w:top w:val="single" w:sz="4" w:space="0" w:color="auto"/>
              <w:left w:val="nil"/>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738"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-128.8</w:t>
            </w:r>
          </w:p>
        </w:tc>
      </w:tr>
      <w:tr w:rsidR="00A031F9" w:rsidRPr="00C13338" w:rsidTr="00A031F9">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738" w:type="dxa"/>
            <w:tcBorders>
              <w:top w:val="single" w:sz="4" w:space="0" w:color="auto"/>
              <w:left w:val="nil"/>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738"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94" w:type="dxa"/>
            <w:tcBorders>
              <w:top w:val="single" w:sz="4" w:space="0" w:color="auto"/>
              <w:left w:val="single" w:sz="4" w:space="0" w:color="auto"/>
              <w:bottom w:val="single" w:sz="4" w:space="0" w:color="auto"/>
              <w:right w:val="single" w:sz="4" w:space="0" w:color="auto"/>
            </w:tcBorders>
            <w:vAlign w:val="center"/>
          </w:tcPr>
          <w:p w:rsidR="00A031F9" w:rsidRDefault="00A031F9" w:rsidP="00A031F9">
            <w:pPr>
              <w:spacing w:after="0"/>
              <w:jc w:val="center"/>
              <w:rPr>
                <w:rFonts w:ascii="Calibri" w:hAnsi="Calibri" w:cs="Calibri"/>
                <w:color w:val="000000"/>
                <w:sz w:val="18"/>
                <w:szCs w:val="18"/>
                <w:lang w:val="en-US"/>
              </w:rPr>
            </w:pPr>
            <w:r>
              <w:rPr>
                <w:rFonts w:ascii="Calibri" w:hAnsi="Calibri" w:cs="Calibri"/>
                <w:color w:val="000000"/>
                <w:sz w:val="18"/>
                <w:szCs w:val="18"/>
                <w:lang w:val="en-US"/>
              </w:rPr>
              <w:t>-129.1</w:t>
            </w:r>
          </w:p>
        </w:tc>
      </w:tr>
    </w:tbl>
    <w:p w:rsidR="00A031F9" w:rsidRDefault="00A031F9" w:rsidP="00A031F9"/>
    <w:p w:rsidR="00A031F9" w:rsidRDefault="00A031F9" w:rsidP="00A031F9"/>
    <w:p w:rsidR="00A031F9" w:rsidRDefault="00A031F9" w:rsidP="00110898">
      <w:pPr>
        <w:rPr>
          <w:sz w:val="18"/>
          <w:szCs w:val="18"/>
        </w:rPr>
      </w:pPr>
    </w:p>
    <w:p w:rsidR="00A031F9" w:rsidRDefault="00A031F9" w:rsidP="00110898">
      <w:pPr>
        <w:rPr>
          <w:sz w:val="18"/>
          <w:szCs w:val="18"/>
        </w:rPr>
      </w:pPr>
    </w:p>
    <w:p w:rsidR="00A031F9" w:rsidRDefault="00A031F9" w:rsidP="00A031F9">
      <w:pPr>
        <w:ind w:left="450"/>
        <w:rPr>
          <w:sz w:val="18"/>
          <w:szCs w:val="18"/>
        </w:rPr>
      </w:pPr>
      <w:r>
        <w:rPr>
          <w:noProof/>
          <w:sz w:val="18"/>
          <w:szCs w:val="18"/>
          <w:lang w:val="en-US"/>
        </w:rPr>
        <w:lastRenderedPageBreak/>
        <w:drawing>
          <wp:inline distT="0" distB="0" distL="0" distR="0">
            <wp:extent cx="5332730" cy="39427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E04060" w:rsidRPr="001220D9" w:rsidRDefault="00E04060" w:rsidP="00E04060">
      <w:pPr>
        <w:jc w:val="center"/>
        <w:rPr>
          <w:b/>
          <w:sz w:val="18"/>
          <w:szCs w:val="18"/>
        </w:rPr>
      </w:pPr>
      <w:r>
        <w:rPr>
          <w:b/>
          <w:sz w:val="18"/>
          <w:szCs w:val="18"/>
        </w:rPr>
        <w:t xml:space="preserve">Figure </w:t>
      </w:r>
      <w:proofErr w:type="gramStart"/>
      <w:r>
        <w:rPr>
          <w:b/>
          <w:sz w:val="18"/>
          <w:szCs w:val="18"/>
        </w:rPr>
        <w:t>2.2</w:t>
      </w:r>
      <w:r w:rsidRPr="001220D9">
        <w:rPr>
          <w:b/>
          <w:sz w:val="18"/>
          <w:szCs w:val="18"/>
        </w:rPr>
        <w:t xml:space="preserve"> </w:t>
      </w:r>
      <w:r>
        <w:rPr>
          <w:b/>
          <w:sz w:val="18"/>
          <w:szCs w:val="18"/>
        </w:rPr>
        <w:t>Reference</w:t>
      </w:r>
      <w:r w:rsidRPr="001220D9">
        <w:rPr>
          <w:b/>
          <w:sz w:val="18"/>
          <w:szCs w:val="18"/>
        </w:rPr>
        <w:t xml:space="preserve"> </w:t>
      </w:r>
      <w:r>
        <w:rPr>
          <w:b/>
          <w:sz w:val="18"/>
          <w:szCs w:val="18"/>
        </w:rPr>
        <w:t xml:space="preserve">Sensitivity with </w:t>
      </w:r>
      <w:r w:rsidRPr="001220D9">
        <w:rPr>
          <w:b/>
          <w:sz w:val="18"/>
          <w:szCs w:val="18"/>
        </w:rPr>
        <w:t>100 Transmissions of SRS</w:t>
      </w:r>
      <w:proofErr w:type="gramEnd"/>
    </w:p>
    <w:p w:rsidR="004376F6" w:rsidRDefault="004376F6" w:rsidP="006E06D5">
      <w:pPr>
        <w:rPr>
          <w:sz w:val="18"/>
          <w:szCs w:val="18"/>
        </w:rPr>
      </w:pPr>
    </w:p>
    <w:p w:rsidR="00551957" w:rsidRDefault="00551957" w:rsidP="00551957">
      <w:pPr>
        <w:rPr>
          <w:rFonts w:ascii="Arial" w:hAnsi="Arial" w:cs="Arial"/>
        </w:rPr>
      </w:pPr>
      <w:r w:rsidRPr="00F95BF3">
        <w:rPr>
          <w:rFonts w:ascii="Arial" w:hAnsi="Arial" w:cs="Arial"/>
          <w:sz w:val="24"/>
          <w:szCs w:val="24"/>
        </w:rPr>
        <w:t>2.</w:t>
      </w:r>
      <w:r>
        <w:rPr>
          <w:rFonts w:ascii="Arial" w:hAnsi="Arial" w:cs="Arial"/>
          <w:sz w:val="24"/>
          <w:szCs w:val="24"/>
        </w:rPr>
        <w:t>3</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Dynamic Range</w:t>
      </w:r>
    </w:p>
    <w:p w:rsidR="00503AC5" w:rsidRDefault="00503AC5" w:rsidP="00503AC5">
      <w:r>
        <w:t>Figure 2.3 below shows the LMU’s dynamic range for 100 transmissions of a full-band SRS for each of the supported channel bandwidths.  Table 2.2 lists the mean power in dBm of the wanted signal and interferer for 90% probability of detection for each of the channel bandwidths.</w:t>
      </w:r>
      <w:r w:rsidR="009D79EE">
        <w:t xml:space="preserve">  The input power of the wanted signal was varied while holding the mean power of the interfering signal constant at the values shown.</w:t>
      </w:r>
      <w:r>
        <w:t xml:space="preserve"> </w:t>
      </w:r>
    </w:p>
    <w:tbl>
      <w:tblPr>
        <w:tblpPr w:leftFromText="180" w:rightFromText="180" w:vertAnchor="text" w:horzAnchor="margin" w:tblpXSpec="center" w:tblpY="344"/>
        <w:tblW w:w="8028" w:type="dxa"/>
        <w:tblLook w:val="04A0" w:firstRow="1" w:lastRow="0" w:firstColumn="1" w:lastColumn="0" w:noHBand="0" w:noVBand="1"/>
      </w:tblPr>
      <w:tblGrid>
        <w:gridCol w:w="1711"/>
        <w:gridCol w:w="1367"/>
        <w:gridCol w:w="1530"/>
        <w:gridCol w:w="1710"/>
        <w:gridCol w:w="1710"/>
      </w:tblGrid>
      <w:tr w:rsidR="00595CBD" w:rsidRPr="00C13338" w:rsidTr="00A14A45">
        <w:trPr>
          <w:trHeight w:val="323"/>
        </w:trPr>
        <w:tc>
          <w:tcPr>
            <w:tcW w:w="8028"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95CBD" w:rsidRPr="00C13338" w:rsidRDefault="00595CBD" w:rsidP="00595CBD">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2.3 Dynamic Range at 90% detection rate</w:t>
            </w:r>
          </w:p>
        </w:tc>
      </w:tr>
      <w:tr w:rsidR="00F01761" w:rsidRPr="00C13338" w:rsidTr="00E04060">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F01761" w:rsidRPr="00C13338"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367" w:type="dxa"/>
            <w:tcBorders>
              <w:top w:val="single" w:sz="4" w:space="0" w:color="auto"/>
              <w:left w:val="nil"/>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Allocated RBs for SRS</w:t>
            </w:r>
          </w:p>
        </w:tc>
        <w:tc>
          <w:tcPr>
            <w:tcW w:w="1530" w:type="dxa"/>
            <w:tcBorders>
              <w:top w:val="single" w:sz="4" w:space="0" w:color="auto"/>
              <w:left w:val="single" w:sz="4" w:space="0" w:color="auto"/>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Pr="001220D9" w:rsidRDefault="00F01761"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F01761"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Interferer signal mean power [dBm]</w:t>
            </w:r>
          </w:p>
        </w:tc>
      </w:tr>
      <w:tr w:rsidR="00F01761" w:rsidRPr="00C13338" w:rsidTr="00E04060">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F01761" w:rsidRPr="00C13338"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367" w:type="dxa"/>
            <w:tcBorders>
              <w:top w:val="single" w:sz="4" w:space="0" w:color="auto"/>
              <w:left w:val="nil"/>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530" w:type="dxa"/>
            <w:tcBorders>
              <w:top w:val="single" w:sz="4" w:space="0" w:color="auto"/>
              <w:left w:val="single" w:sz="4" w:space="0" w:color="auto"/>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F01761"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-94.7</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E04060"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-73.7</w:t>
            </w:r>
          </w:p>
        </w:tc>
      </w:tr>
      <w:tr w:rsidR="00F01761" w:rsidRPr="00C13338" w:rsidTr="00E04060">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F01761" w:rsidRPr="00C13338"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367" w:type="dxa"/>
            <w:tcBorders>
              <w:top w:val="single" w:sz="4" w:space="0" w:color="auto"/>
              <w:left w:val="nil"/>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530" w:type="dxa"/>
            <w:tcBorders>
              <w:top w:val="single" w:sz="4" w:space="0" w:color="auto"/>
              <w:left w:val="single" w:sz="4" w:space="0" w:color="auto"/>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F01761"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-94.6</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E04060"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-69.7</w:t>
            </w:r>
          </w:p>
        </w:tc>
      </w:tr>
      <w:tr w:rsidR="00F01761" w:rsidRPr="00C13338" w:rsidTr="00E04060">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1761" w:rsidRPr="00C13338"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367" w:type="dxa"/>
            <w:tcBorders>
              <w:top w:val="single" w:sz="4" w:space="0" w:color="auto"/>
              <w:left w:val="nil"/>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530" w:type="dxa"/>
            <w:tcBorders>
              <w:top w:val="single" w:sz="4" w:space="0" w:color="auto"/>
              <w:left w:val="single" w:sz="4" w:space="0" w:color="auto"/>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F01761"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-94.3</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E04060"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-67.5</w:t>
            </w:r>
          </w:p>
        </w:tc>
      </w:tr>
      <w:tr w:rsidR="00F01761" w:rsidRPr="00C13338" w:rsidTr="00E04060">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367" w:type="dxa"/>
            <w:tcBorders>
              <w:top w:val="single" w:sz="4" w:space="0" w:color="auto"/>
              <w:left w:val="nil"/>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530" w:type="dxa"/>
            <w:tcBorders>
              <w:top w:val="single" w:sz="4" w:space="0" w:color="auto"/>
              <w:left w:val="single" w:sz="4" w:space="0" w:color="auto"/>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F01761"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-94.1</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E04060"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-64.5</w:t>
            </w:r>
          </w:p>
        </w:tc>
      </w:tr>
      <w:tr w:rsidR="00F01761" w:rsidRPr="00C13338" w:rsidTr="00E04060">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367" w:type="dxa"/>
            <w:tcBorders>
              <w:top w:val="single" w:sz="4" w:space="0" w:color="auto"/>
              <w:left w:val="nil"/>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530" w:type="dxa"/>
            <w:tcBorders>
              <w:top w:val="single" w:sz="4" w:space="0" w:color="auto"/>
              <w:left w:val="single" w:sz="4" w:space="0" w:color="auto"/>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F01761"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-94.0</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E04060"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-62.7</w:t>
            </w:r>
          </w:p>
        </w:tc>
      </w:tr>
      <w:tr w:rsidR="00F01761" w:rsidRPr="00C13338" w:rsidTr="00E04060">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367" w:type="dxa"/>
            <w:tcBorders>
              <w:top w:val="single" w:sz="4" w:space="0" w:color="auto"/>
              <w:left w:val="nil"/>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530" w:type="dxa"/>
            <w:tcBorders>
              <w:top w:val="single" w:sz="4" w:space="0" w:color="auto"/>
              <w:left w:val="single" w:sz="4" w:space="0" w:color="auto"/>
              <w:bottom w:val="single" w:sz="4" w:space="0" w:color="auto"/>
              <w:right w:val="single" w:sz="4" w:space="0" w:color="auto"/>
            </w:tcBorders>
            <w:vAlign w:val="center"/>
          </w:tcPr>
          <w:p w:rsidR="00F01761" w:rsidRDefault="00F01761"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F01761"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-93.9</w:t>
            </w:r>
          </w:p>
        </w:tc>
        <w:tc>
          <w:tcPr>
            <w:tcW w:w="1710" w:type="dxa"/>
            <w:tcBorders>
              <w:top w:val="single" w:sz="4" w:space="0" w:color="auto"/>
              <w:left w:val="single" w:sz="4" w:space="0" w:color="auto"/>
              <w:bottom w:val="single" w:sz="4" w:space="0" w:color="auto"/>
              <w:right w:val="single" w:sz="4" w:space="0" w:color="auto"/>
            </w:tcBorders>
            <w:vAlign w:val="center"/>
          </w:tcPr>
          <w:p w:rsidR="00F01761" w:rsidRDefault="00E04060" w:rsidP="00E04060">
            <w:pPr>
              <w:spacing w:after="0"/>
              <w:jc w:val="center"/>
              <w:rPr>
                <w:rFonts w:ascii="Calibri" w:hAnsi="Calibri" w:cs="Calibri"/>
                <w:color w:val="000000"/>
                <w:sz w:val="18"/>
                <w:szCs w:val="18"/>
                <w:lang w:val="en-US"/>
              </w:rPr>
            </w:pPr>
            <w:r>
              <w:rPr>
                <w:rFonts w:ascii="Calibri" w:hAnsi="Calibri" w:cs="Calibri"/>
                <w:color w:val="000000"/>
                <w:sz w:val="18"/>
                <w:szCs w:val="18"/>
                <w:lang w:val="en-US"/>
              </w:rPr>
              <w:t>-61.4</w:t>
            </w:r>
          </w:p>
        </w:tc>
      </w:tr>
    </w:tbl>
    <w:p w:rsidR="00503AC5" w:rsidRDefault="00503AC5" w:rsidP="00503AC5"/>
    <w:p w:rsidR="00503AC5" w:rsidRDefault="00503AC5" w:rsidP="00503AC5"/>
    <w:p w:rsidR="00503AC5" w:rsidRDefault="00503AC5" w:rsidP="00503AC5">
      <w:pPr>
        <w:rPr>
          <w:sz w:val="18"/>
          <w:szCs w:val="18"/>
        </w:rPr>
      </w:pPr>
    </w:p>
    <w:p w:rsidR="00503AC5" w:rsidRDefault="00503AC5" w:rsidP="00503AC5">
      <w:pPr>
        <w:rPr>
          <w:sz w:val="18"/>
          <w:szCs w:val="18"/>
        </w:rPr>
      </w:pPr>
    </w:p>
    <w:p w:rsidR="00503AC5" w:rsidRDefault="00503AC5" w:rsidP="005333A2">
      <w:pPr>
        <w:rPr>
          <w:sz w:val="18"/>
          <w:szCs w:val="18"/>
        </w:rPr>
      </w:pPr>
    </w:p>
    <w:p w:rsidR="00503AC5" w:rsidRDefault="00503AC5" w:rsidP="005333A2">
      <w:pPr>
        <w:rPr>
          <w:sz w:val="18"/>
          <w:szCs w:val="18"/>
        </w:rPr>
      </w:pPr>
      <w:r>
        <w:rPr>
          <w:noProof/>
          <w:sz w:val="18"/>
          <w:szCs w:val="18"/>
          <w:lang w:val="en-US"/>
        </w:rPr>
        <w:lastRenderedPageBreak/>
        <w:drawing>
          <wp:inline distT="0" distB="0" distL="0" distR="0">
            <wp:extent cx="5888990" cy="39427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8990" cy="3942715"/>
                    </a:xfrm>
                    <a:prstGeom prst="rect">
                      <a:avLst/>
                    </a:prstGeom>
                    <a:noFill/>
                    <a:ln>
                      <a:noFill/>
                    </a:ln>
                  </pic:spPr>
                </pic:pic>
              </a:graphicData>
            </a:graphic>
          </wp:inline>
        </w:drawing>
      </w:r>
    </w:p>
    <w:p w:rsidR="00E04060" w:rsidRDefault="00E04060" w:rsidP="00E04060">
      <w:pPr>
        <w:jc w:val="center"/>
        <w:rPr>
          <w:sz w:val="18"/>
          <w:szCs w:val="18"/>
        </w:rPr>
      </w:pPr>
      <w:r>
        <w:rPr>
          <w:b/>
          <w:sz w:val="18"/>
          <w:szCs w:val="18"/>
        </w:rPr>
        <w:t>Figure 2.</w:t>
      </w:r>
      <w:r w:rsidR="004D3649">
        <w:rPr>
          <w:b/>
          <w:sz w:val="18"/>
          <w:szCs w:val="18"/>
        </w:rPr>
        <w:t>3</w:t>
      </w:r>
      <w:r w:rsidRPr="001220D9">
        <w:rPr>
          <w:b/>
          <w:sz w:val="18"/>
          <w:szCs w:val="18"/>
        </w:rPr>
        <w:t xml:space="preserve"> </w:t>
      </w:r>
      <w:r>
        <w:rPr>
          <w:b/>
          <w:sz w:val="18"/>
          <w:szCs w:val="18"/>
        </w:rPr>
        <w:t xml:space="preserve">Dynamic Range with </w:t>
      </w:r>
      <w:r w:rsidRPr="001220D9">
        <w:rPr>
          <w:b/>
          <w:sz w:val="18"/>
          <w:szCs w:val="18"/>
        </w:rPr>
        <w:t>100 Transmissions of SRS</w:t>
      </w:r>
    </w:p>
    <w:p w:rsidR="00E04060" w:rsidRDefault="00E04060" w:rsidP="005333A2">
      <w:pPr>
        <w:rPr>
          <w:sz w:val="18"/>
          <w:szCs w:val="18"/>
        </w:rPr>
      </w:pPr>
    </w:p>
    <w:p w:rsidR="00E513C7" w:rsidRPr="00EA39D5" w:rsidRDefault="00E513C7" w:rsidP="00110898"/>
    <w:p w:rsidR="00F95BF3" w:rsidRDefault="00F95BF3" w:rsidP="00F95BF3">
      <w:pPr>
        <w:rPr>
          <w:rFonts w:ascii="Arial" w:hAnsi="Arial" w:cs="Arial"/>
        </w:rPr>
      </w:pPr>
      <w:r w:rsidRPr="00F95BF3">
        <w:rPr>
          <w:rFonts w:ascii="Arial" w:hAnsi="Arial" w:cs="Arial"/>
          <w:sz w:val="24"/>
          <w:szCs w:val="24"/>
        </w:rPr>
        <w:t>2.</w:t>
      </w:r>
      <w:r w:rsidR="00F035F2">
        <w:rPr>
          <w:rFonts w:ascii="Arial" w:hAnsi="Arial" w:cs="Arial"/>
          <w:sz w:val="24"/>
          <w:szCs w:val="24"/>
        </w:rPr>
        <w:t>4</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 xml:space="preserve">Adjacent </w:t>
      </w:r>
      <w:r w:rsidR="0019399D">
        <w:rPr>
          <w:rFonts w:ascii="Arial" w:hAnsi="Arial" w:cs="Arial"/>
          <w:sz w:val="24"/>
          <w:szCs w:val="24"/>
        </w:rPr>
        <w:t>c</w:t>
      </w:r>
      <w:r>
        <w:rPr>
          <w:rFonts w:ascii="Arial" w:hAnsi="Arial" w:cs="Arial"/>
          <w:sz w:val="24"/>
          <w:szCs w:val="24"/>
        </w:rPr>
        <w:t xml:space="preserve">hannel </w:t>
      </w:r>
      <w:r w:rsidR="0019399D">
        <w:rPr>
          <w:rFonts w:ascii="Arial" w:hAnsi="Arial" w:cs="Arial"/>
          <w:sz w:val="24"/>
          <w:szCs w:val="24"/>
        </w:rPr>
        <w:t>s</w:t>
      </w:r>
      <w:r>
        <w:rPr>
          <w:rFonts w:ascii="Arial" w:hAnsi="Arial" w:cs="Arial"/>
          <w:sz w:val="24"/>
          <w:szCs w:val="24"/>
        </w:rPr>
        <w:t>electivity</w:t>
      </w:r>
    </w:p>
    <w:p w:rsidR="00595CBD" w:rsidRDefault="00595CBD" w:rsidP="00595CBD">
      <w:r>
        <w:t>Figure 2.</w:t>
      </w:r>
      <w:r w:rsidR="00F035F2">
        <w:t>4</w:t>
      </w:r>
      <w:r>
        <w:t xml:space="preserve"> below shows the LMU’s adjacent channel selectivity for 100 transmissions of a full-band SRS for each of the supported channel bandwidths.  Table 2.</w:t>
      </w:r>
      <w:r w:rsidR="00F035F2">
        <w:t>4</w:t>
      </w:r>
      <w:r>
        <w:t xml:space="preserve"> lists the mean power in dBm of the wanted signal and interferer for 90% probability of detection for each of the channel bandwidths.  The input power of the wanted signal was varied while holding the mean power of the interfering signal constant at the values shown. </w:t>
      </w:r>
    </w:p>
    <w:tbl>
      <w:tblPr>
        <w:tblpPr w:leftFromText="180" w:rightFromText="180" w:vertAnchor="text" w:horzAnchor="margin" w:tblpXSpec="center" w:tblpY="344"/>
        <w:tblW w:w="8028" w:type="dxa"/>
        <w:tblLook w:val="04A0" w:firstRow="1" w:lastRow="0" w:firstColumn="1" w:lastColumn="0" w:noHBand="0" w:noVBand="1"/>
      </w:tblPr>
      <w:tblGrid>
        <w:gridCol w:w="1711"/>
        <w:gridCol w:w="1367"/>
        <w:gridCol w:w="1530"/>
        <w:gridCol w:w="1710"/>
        <w:gridCol w:w="1710"/>
      </w:tblGrid>
      <w:tr w:rsidR="00595CBD" w:rsidRPr="00C13338" w:rsidTr="00A14A45">
        <w:trPr>
          <w:trHeight w:val="323"/>
        </w:trPr>
        <w:tc>
          <w:tcPr>
            <w:tcW w:w="8028"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595CBD" w:rsidRPr="00C13338" w:rsidRDefault="00595CBD" w:rsidP="00F035F2">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F035F2">
              <w:rPr>
                <w:rFonts w:ascii="Calibri" w:hAnsi="Calibri" w:cs="Calibri"/>
                <w:color w:val="000000"/>
                <w:sz w:val="18"/>
                <w:szCs w:val="18"/>
                <w:lang w:val="en-US"/>
              </w:rPr>
              <w:t>4</w:t>
            </w:r>
            <w:r>
              <w:rPr>
                <w:rFonts w:ascii="Calibri" w:hAnsi="Calibri" w:cs="Calibri"/>
                <w:color w:val="000000"/>
                <w:sz w:val="18"/>
                <w:szCs w:val="18"/>
                <w:lang w:val="en-US"/>
              </w:rPr>
              <w:t xml:space="preserve"> Adjacent Channel Selectivity at 90% detection rate</w:t>
            </w:r>
          </w:p>
        </w:tc>
      </w:tr>
      <w:tr w:rsidR="00595CBD" w:rsidRPr="00C13338" w:rsidTr="00A14A45">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595CBD" w:rsidRPr="00C13338"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367" w:type="dxa"/>
            <w:tcBorders>
              <w:top w:val="single" w:sz="4" w:space="0" w:color="auto"/>
              <w:left w:val="nil"/>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Allocated RBs for SRS</w:t>
            </w:r>
          </w:p>
        </w:tc>
        <w:tc>
          <w:tcPr>
            <w:tcW w:w="153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Pr="001220D9"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Interferer signal mean power [dBm]</w:t>
            </w:r>
          </w:p>
        </w:tc>
      </w:tr>
      <w:tr w:rsidR="00595CBD" w:rsidRPr="00C13338" w:rsidTr="00A14A45">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595CBD" w:rsidRPr="00C13338"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367" w:type="dxa"/>
            <w:tcBorders>
              <w:top w:val="single" w:sz="4" w:space="0" w:color="auto"/>
              <w:left w:val="nil"/>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53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-124.5</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r w:rsidR="00595CBD" w:rsidRPr="00C13338" w:rsidTr="00A14A45">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595CBD" w:rsidRPr="00C13338"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367" w:type="dxa"/>
            <w:tcBorders>
              <w:top w:val="single" w:sz="4" w:space="0" w:color="auto"/>
              <w:left w:val="nil"/>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53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595CBD">
            <w:pPr>
              <w:spacing w:after="0"/>
              <w:jc w:val="center"/>
              <w:rPr>
                <w:rFonts w:ascii="Calibri" w:hAnsi="Calibri" w:cs="Calibri"/>
                <w:color w:val="000000"/>
                <w:sz w:val="18"/>
                <w:szCs w:val="18"/>
                <w:lang w:val="en-US"/>
              </w:rPr>
            </w:pPr>
            <w:r>
              <w:rPr>
                <w:rFonts w:ascii="Calibri" w:hAnsi="Calibri" w:cs="Calibri"/>
                <w:color w:val="000000"/>
                <w:sz w:val="18"/>
                <w:szCs w:val="18"/>
                <w:lang w:val="en-US"/>
              </w:rPr>
              <w:t>-125.5</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r w:rsidR="00595CBD" w:rsidRPr="00C13338" w:rsidTr="00A14A45">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5CBD" w:rsidRPr="00C13338"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367" w:type="dxa"/>
            <w:tcBorders>
              <w:top w:val="single" w:sz="4" w:space="0" w:color="auto"/>
              <w:left w:val="nil"/>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53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595CBD">
            <w:pPr>
              <w:spacing w:after="0"/>
              <w:jc w:val="center"/>
              <w:rPr>
                <w:rFonts w:ascii="Calibri" w:hAnsi="Calibri" w:cs="Calibri"/>
                <w:color w:val="000000"/>
                <w:sz w:val="18"/>
                <w:szCs w:val="18"/>
                <w:lang w:val="en-US"/>
              </w:rPr>
            </w:pPr>
            <w:r>
              <w:rPr>
                <w:rFonts w:ascii="Calibri" w:hAnsi="Calibri" w:cs="Calibri"/>
                <w:color w:val="000000"/>
                <w:sz w:val="18"/>
                <w:szCs w:val="18"/>
                <w:lang w:val="en-US"/>
              </w:rPr>
              <w:t>-126.1</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r w:rsidR="00595CBD" w:rsidRPr="00C13338" w:rsidTr="00A14A45">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367" w:type="dxa"/>
            <w:tcBorders>
              <w:top w:val="single" w:sz="4" w:space="0" w:color="auto"/>
              <w:left w:val="nil"/>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53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595CBD">
            <w:pPr>
              <w:spacing w:after="0"/>
              <w:jc w:val="center"/>
              <w:rPr>
                <w:rFonts w:ascii="Calibri" w:hAnsi="Calibri" w:cs="Calibri"/>
                <w:color w:val="000000"/>
                <w:sz w:val="18"/>
                <w:szCs w:val="18"/>
                <w:lang w:val="en-US"/>
              </w:rPr>
            </w:pPr>
            <w:r>
              <w:rPr>
                <w:rFonts w:ascii="Calibri" w:hAnsi="Calibri" w:cs="Calibri"/>
                <w:color w:val="000000"/>
                <w:sz w:val="18"/>
                <w:szCs w:val="18"/>
                <w:lang w:val="en-US"/>
              </w:rPr>
              <w:t>-128.3</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r w:rsidR="00595CBD" w:rsidRPr="00C13338" w:rsidTr="00A14A45">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367" w:type="dxa"/>
            <w:tcBorders>
              <w:top w:val="single" w:sz="4" w:space="0" w:color="auto"/>
              <w:left w:val="nil"/>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53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A1315A" w:rsidP="00595CBD">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595CBD">
              <w:rPr>
                <w:rFonts w:ascii="Calibri" w:hAnsi="Calibri" w:cs="Calibri"/>
                <w:color w:val="000000"/>
                <w:sz w:val="18"/>
                <w:szCs w:val="18"/>
                <w:lang w:val="en-US"/>
              </w:rPr>
              <w:t>128.3</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r w:rsidR="00595CBD" w:rsidRPr="00C13338" w:rsidTr="00A14A45">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367" w:type="dxa"/>
            <w:tcBorders>
              <w:top w:val="single" w:sz="4" w:space="0" w:color="auto"/>
              <w:left w:val="nil"/>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53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A1315A" w:rsidP="00595CBD">
            <w:pPr>
              <w:spacing w:after="0"/>
              <w:jc w:val="center"/>
              <w:rPr>
                <w:rFonts w:ascii="Calibri" w:hAnsi="Calibri" w:cs="Calibri"/>
                <w:color w:val="000000"/>
                <w:sz w:val="18"/>
                <w:szCs w:val="18"/>
                <w:lang w:val="en-US"/>
              </w:rPr>
            </w:pPr>
            <w:r>
              <w:rPr>
                <w:rFonts w:ascii="Calibri" w:hAnsi="Calibri" w:cs="Calibri"/>
                <w:color w:val="000000"/>
                <w:sz w:val="18"/>
                <w:szCs w:val="18"/>
                <w:lang w:val="en-US"/>
              </w:rPr>
              <w:t>-</w:t>
            </w:r>
            <w:r w:rsidR="00595CBD">
              <w:rPr>
                <w:rFonts w:ascii="Calibri" w:hAnsi="Calibri" w:cs="Calibri"/>
                <w:color w:val="000000"/>
                <w:sz w:val="18"/>
                <w:szCs w:val="18"/>
                <w:lang w:val="en-US"/>
              </w:rPr>
              <w:t>129.6</w:t>
            </w:r>
          </w:p>
        </w:tc>
        <w:tc>
          <w:tcPr>
            <w:tcW w:w="1710" w:type="dxa"/>
            <w:tcBorders>
              <w:top w:val="single" w:sz="4" w:space="0" w:color="auto"/>
              <w:left w:val="single" w:sz="4" w:space="0" w:color="auto"/>
              <w:bottom w:val="single" w:sz="4" w:space="0" w:color="auto"/>
              <w:right w:val="single" w:sz="4" w:space="0" w:color="auto"/>
            </w:tcBorders>
            <w:vAlign w:val="center"/>
          </w:tcPr>
          <w:p w:rsidR="00595CBD" w:rsidRDefault="00595CBD" w:rsidP="00A14A45">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bl>
    <w:p w:rsidR="00595CBD" w:rsidRDefault="00595CBD" w:rsidP="008C3750">
      <w:pPr>
        <w:rPr>
          <w:sz w:val="18"/>
          <w:szCs w:val="18"/>
        </w:rPr>
      </w:pPr>
    </w:p>
    <w:p w:rsidR="00595CBD" w:rsidRDefault="00595CBD" w:rsidP="008C3750">
      <w:pPr>
        <w:rPr>
          <w:sz w:val="18"/>
          <w:szCs w:val="18"/>
        </w:rPr>
      </w:pPr>
    </w:p>
    <w:p w:rsidR="00595CBD" w:rsidRDefault="00595CBD" w:rsidP="008C3750">
      <w:pPr>
        <w:rPr>
          <w:sz w:val="18"/>
          <w:szCs w:val="18"/>
        </w:rPr>
      </w:pPr>
    </w:p>
    <w:p w:rsidR="00595CBD" w:rsidRDefault="00595CBD" w:rsidP="00595CBD">
      <w:pPr>
        <w:ind w:left="720"/>
        <w:rPr>
          <w:sz w:val="18"/>
          <w:szCs w:val="18"/>
        </w:rPr>
      </w:pPr>
      <w:r>
        <w:rPr>
          <w:noProof/>
          <w:sz w:val="18"/>
          <w:szCs w:val="18"/>
          <w:lang w:val="en-US"/>
        </w:rPr>
        <w:lastRenderedPageBreak/>
        <w:drawing>
          <wp:inline distT="0" distB="0" distL="0" distR="0">
            <wp:extent cx="5332730" cy="39427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595CBD" w:rsidRDefault="00595CBD" w:rsidP="00595CBD">
      <w:pPr>
        <w:jc w:val="center"/>
        <w:rPr>
          <w:sz w:val="18"/>
          <w:szCs w:val="18"/>
        </w:rPr>
      </w:pPr>
      <w:r>
        <w:rPr>
          <w:b/>
          <w:sz w:val="18"/>
          <w:szCs w:val="18"/>
        </w:rPr>
        <w:t xml:space="preserve">Figure </w:t>
      </w:r>
      <w:proofErr w:type="gramStart"/>
      <w:r>
        <w:rPr>
          <w:b/>
          <w:sz w:val="18"/>
          <w:szCs w:val="18"/>
        </w:rPr>
        <w:t>2.5</w:t>
      </w:r>
      <w:r w:rsidRPr="001220D9">
        <w:rPr>
          <w:b/>
          <w:sz w:val="18"/>
          <w:szCs w:val="18"/>
        </w:rPr>
        <w:t xml:space="preserve"> </w:t>
      </w:r>
      <w:r>
        <w:rPr>
          <w:b/>
          <w:sz w:val="18"/>
          <w:szCs w:val="18"/>
        </w:rPr>
        <w:t xml:space="preserve">Adjacent Channel Selectivity with </w:t>
      </w:r>
      <w:r w:rsidRPr="001220D9">
        <w:rPr>
          <w:b/>
          <w:sz w:val="18"/>
          <w:szCs w:val="18"/>
        </w:rPr>
        <w:t>100 Transmissions of SRS</w:t>
      </w:r>
      <w:proofErr w:type="gramEnd"/>
    </w:p>
    <w:p w:rsidR="00F95BF3" w:rsidRDefault="00BD0062" w:rsidP="008C3750">
      <w:pPr>
        <w:rPr>
          <w:rFonts w:ascii="Arial" w:hAnsi="Arial" w:cs="Arial"/>
        </w:rPr>
      </w:pPr>
      <w:r>
        <w:rPr>
          <w:sz w:val="18"/>
          <w:szCs w:val="18"/>
        </w:rPr>
        <w:t xml:space="preserve"> </w:t>
      </w:r>
    </w:p>
    <w:p w:rsidR="00365219" w:rsidRDefault="00365219" w:rsidP="00222AFA">
      <w:pPr>
        <w:rPr>
          <w:rFonts w:ascii="Arial" w:hAnsi="Arial" w:cs="Arial"/>
        </w:rPr>
      </w:pPr>
    </w:p>
    <w:p w:rsidR="00365219" w:rsidRDefault="00365219" w:rsidP="00222AFA">
      <w:pPr>
        <w:rPr>
          <w:rFonts w:ascii="Arial" w:hAnsi="Arial" w:cs="Arial"/>
        </w:rPr>
      </w:pPr>
    </w:p>
    <w:p w:rsidR="00B221B8" w:rsidRDefault="00B221B8" w:rsidP="00222AFA">
      <w:pPr>
        <w:rPr>
          <w:rFonts w:ascii="Arial" w:hAnsi="Arial" w:cs="Arial"/>
          <w:sz w:val="24"/>
          <w:szCs w:val="24"/>
        </w:rPr>
      </w:pPr>
      <w:r w:rsidRPr="00F95BF3">
        <w:rPr>
          <w:rFonts w:ascii="Arial" w:hAnsi="Arial" w:cs="Arial"/>
          <w:sz w:val="24"/>
          <w:szCs w:val="24"/>
        </w:rPr>
        <w:t>2.</w:t>
      </w:r>
      <w:r w:rsidR="00F035F2">
        <w:rPr>
          <w:rFonts w:ascii="Arial" w:hAnsi="Arial" w:cs="Arial"/>
          <w:sz w:val="24"/>
          <w:szCs w:val="24"/>
        </w:rPr>
        <w:t>5</w:t>
      </w:r>
      <w:r w:rsidRPr="00F95BF3">
        <w:rPr>
          <w:rFonts w:ascii="Arial" w:hAnsi="Arial" w:cs="Arial"/>
          <w:sz w:val="24"/>
          <w:szCs w:val="24"/>
        </w:rPr>
        <w:t xml:space="preserve"> </w:t>
      </w:r>
      <w:r w:rsidRPr="00F95BF3">
        <w:rPr>
          <w:rFonts w:ascii="Arial" w:hAnsi="Arial" w:cs="Arial"/>
          <w:sz w:val="24"/>
          <w:szCs w:val="24"/>
        </w:rPr>
        <w:tab/>
      </w:r>
      <w:r w:rsidR="001D6A7A">
        <w:rPr>
          <w:rFonts w:ascii="Arial" w:hAnsi="Arial" w:cs="Arial"/>
          <w:sz w:val="24"/>
          <w:szCs w:val="24"/>
        </w:rPr>
        <w:t>Blocking</w:t>
      </w:r>
    </w:p>
    <w:p w:rsidR="005A129B" w:rsidRDefault="005A129B" w:rsidP="00222AFA">
      <w:pPr>
        <w:rPr>
          <w:rFonts w:ascii="Arial" w:hAnsi="Arial" w:cs="Arial"/>
        </w:rPr>
      </w:pPr>
      <w:r>
        <w:rPr>
          <w:rFonts w:ascii="Arial" w:hAnsi="Arial" w:cs="Arial"/>
          <w:sz w:val="24"/>
          <w:szCs w:val="24"/>
        </w:rPr>
        <w:t>2.</w:t>
      </w:r>
      <w:r w:rsidR="00F035F2">
        <w:rPr>
          <w:rFonts w:ascii="Arial" w:hAnsi="Arial" w:cs="Arial"/>
          <w:sz w:val="24"/>
          <w:szCs w:val="24"/>
        </w:rPr>
        <w:t>5</w:t>
      </w:r>
      <w:r>
        <w:rPr>
          <w:rFonts w:ascii="Arial" w:hAnsi="Arial" w:cs="Arial"/>
          <w:sz w:val="24"/>
          <w:szCs w:val="24"/>
        </w:rPr>
        <w:t>.1</w:t>
      </w:r>
      <w:r>
        <w:rPr>
          <w:rFonts w:ascii="Arial" w:hAnsi="Arial" w:cs="Arial"/>
          <w:sz w:val="24"/>
          <w:szCs w:val="24"/>
        </w:rPr>
        <w:tab/>
        <w:t>General Blocking</w:t>
      </w:r>
    </w:p>
    <w:p w:rsidR="00B221B8" w:rsidRDefault="0024093F" w:rsidP="00222AFA">
      <w:pPr>
        <w:rPr>
          <w:rFonts w:ascii="Arial" w:hAnsi="Arial" w:cs="Arial"/>
        </w:rPr>
      </w:pPr>
      <w:r>
        <w:t>With the simulation’s current assumptions [4], the results of the general blocking simulation would be identical to the results from the adjacent channel simulation.</w:t>
      </w:r>
    </w:p>
    <w:p w:rsidR="005A129B" w:rsidRDefault="005A129B" w:rsidP="005A129B">
      <w:pPr>
        <w:rPr>
          <w:rFonts w:ascii="Arial" w:hAnsi="Arial" w:cs="Arial"/>
        </w:rPr>
      </w:pPr>
      <w:r>
        <w:rPr>
          <w:rFonts w:ascii="Arial" w:hAnsi="Arial" w:cs="Arial"/>
          <w:sz w:val="24"/>
          <w:szCs w:val="24"/>
        </w:rPr>
        <w:t>2.</w:t>
      </w:r>
      <w:r w:rsidR="00F035F2">
        <w:rPr>
          <w:rFonts w:ascii="Arial" w:hAnsi="Arial" w:cs="Arial"/>
          <w:sz w:val="24"/>
          <w:szCs w:val="24"/>
        </w:rPr>
        <w:t>5</w:t>
      </w:r>
      <w:r>
        <w:rPr>
          <w:rFonts w:ascii="Arial" w:hAnsi="Arial" w:cs="Arial"/>
          <w:sz w:val="24"/>
          <w:szCs w:val="24"/>
        </w:rPr>
        <w:t>.2</w:t>
      </w:r>
      <w:r>
        <w:rPr>
          <w:rFonts w:ascii="Arial" w:hAnsi="Arial" w:cs="Arial"/>
          <w:sz w:val="24"/>
          <w:szCs w:val="24"/>
        </w:rPr>
        <w:tab/>
        <w:t>Co-location with other base stations</w:t>
      </w:r>
    </w:p>
    <w:p w:rsidR="004D3649" w:rsidRDefault="004D3649" w:rsidP="004D3649">
      <w:r>
        <w:t>Figure 2.</w:t>
      </w:r>
      <w:r w:rsidR="00F035F2">
        <w:t>5</w:t>
      </w:r>
      <w:r>
        <w:t xml:space="preserve"> below shows the LMU’s capability to reject downlink transmissions from co-located base stations for 100 transmissions of a full-band SRS for each of the supported channel bandwidths.  The other base stations transmissions were </w:t>
      </w:r>
      <w:r w:rsidR="00377F6C">
        <w:t xml:space="preserve">modelled as a CW tone that was </w:t>
      </w:r>
      <w:r>
        <w:t xml:space="preserve">attenuated by the LMU’s RF filter sufficiently </w:t>
      </w:r>
      <w:r w:rsidR="004463EE">
        <w:t>(90 dB) to so as to not activate the LMU’s AGC.  Th</w:t>
      </w:r>
      <w:r>
        <w:t xml:space="preserve">e third-order term of the input CW </w:t>
      </w:r>
      <w:r w:rsidR="004463EE">
        <w:t xml:space="preserve">which was </w:t>
      </w:r>
      <w:r w:rsidR="00377F6C">
        <w:t xml:space="preserve">assumed to fall within the passband of the receiver </w:t>
      </w:r>
      <w:r>
        <w:t>had minimum impact on the LMU’s probability of detection.  Table 2.</w:t>
      </w:r>
      <w:r w:rsidR="00F035F2">
        <w:t>5</w:t>
      </w:r>
      <w:r>
        <w:t xml:space="preserve"> lists the mean power in dBm of the wanted signal and interferer for 90% probability of detection for each of the channel bandwidths.  The input power of the wanted signal was varied while holding the mean power of the interfering signal constant at the values shown. </w:t>
      </w:r>
    </w:p>
    <w:tbl>
      <w:tblPr>
        <w:tblpPr w:leftFromText="180" w:rightFromText="180" w:vertAnchor="text" w:horzAnchor="margin" w:tblpXSpec="center" w:tblpY="207"/>
        <w:tblW w:w="8028" w:type="dxa"/>
        <w:tblLook w:val="04A0" w:firstRow="1" w:lastRow="0" w:firstColumn="1" w:lastColumn="0" w:noHBand="0" w:noVBand="1"/>
      </w:tblPr>
      <w:tblGrid>
        <w:gridCol w:w="1711"/>
        <w:gridCol w:w="1367"/>
        <w:gridCol w:w="1530"/>
        <w:gridCol w:w="1710"/>
        <w:gridCol w:w="1710"/>
      </w:tblGrid>
      <w:tr w:rsidR="00377F6C" w:rsidRPr="00C13338" w:rsidTr="00921ADB">
        <w:trPr>
          <w:trHeight w:val="323"/>
        </w:trPr>
        <w:tc>
          <w:tcPr>
            <w:tcW w:w="8028"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377F6C" w:rsidRPr="00C13338" w:rsidRDefault="00377F6C" w:rsidP="00F035F2">
            <w:pPr>
              <w:spacing w:after="0"/>
              <w:jc w:val="center"/>
              <w:rPr>
                <w:rFonts w:ascii="Calibri" w:hAnsi="Calibri" w:cs="Calibri"/>
                <w:color w:val="000000"/>
                <w:sz w:val="18"/>
                <w:szCs w:val="18"/>
                <w:lang w:val="en-US"/>
              </w:rPr>
            </w:pPr>
            <w:r>
              <w:rPr>
                <w:rFonts w:ascii="Calibri" w:hAnsi="Calibri" w:cs="Calibri"/>
                <w:color w:val="000000"/>
                <w:sz w:val="18"/>
                <w:szCs w:val="18"/>
                <w:lang w:val="en-US"/>
              </w:rPr>
              <w:t>Table 2.</w:t>
            </w:r>
            <w:r w:rsidR="00F035F2">
              <w:rPr>
                <w:rFonts w:ascii="Calibri" w:hAnsi="Calibri" w:cs="Calibri"/>
                <w:color w:val="000000"/>
                <w:sz w:val="18"/>
                <w:szCs w:val="18"/>
                <w:lang w:val="en-US"/>
              </w:rPr>
              <w:t>5</w:t>
            </w:r>
            <w:r>
              <w:rPr>
                <w:rFonts w:ascii="Calibri" w:hAnsi="Calibri" w:cs="Calibri"/>
                <w:color w:val="000000"/>
                <w:sz w:val="18"/>
                <w:szCs w:val="18"/>
                <w:lang w:val="en-US"/>
              </w:rPr>
              <w:t xml:space="preserve"> Co-location with other BS at 90% detection rate</w:t>
            </w:r>
          </w:p>
        </w:tc>
      </w:tr>
      <w:tr w:rsidR="00377F6C" w:rsidRPr="00C13338" w:rsidTr="00921ADB">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377F6C" w:rsidRPr="00C13338"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367" w:type="dxa"/>
            <w:tcBorders>
              <w:top w:val="single" w:sz="4" w:space="0" w:color="auto"/>
              <w:left w:val="nil"/>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Allocated RBs for SRS</w:t>
            </w:r>
          </w:p>
        </w:tc>
        <w:tc>
          <w:tcPr>
            <w:tcW w:w="153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Pr="001220D9"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Interferer signal mean power [dBm]</w:t>
            </w:r>
          </w:p>
        </w:tc>
      </w:tr>
      <w:tr w:rsidR="00377F6C" w:rsidRPr="00C13338" w:rsidTr="00921ADB">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377F6C" w:rsidRPr="00C13338"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367" w:type="dxa"/>
            <w:tcBorders>
              <w:top w:val="single" w:sz="4" w:space="0" w:color="auto"/>
              <w:left w:val="nil"/>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53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377F6C">
            <w:pPr>
              <w:spacing w:after="0"/>
              <w:jc w:val="center"/>
              <w:rPr>
                <w:rFonts w:ascii="Calibri" w:hAnsi="Calibri" w:cs="Calibri"/>
                <w:color w:val="000000"/>
                <w:sz w:val="18"/>
                <w:szCs w:val="18"/>
                <w:lang w:val="en-US"/>
              </w:rPr>
            </w:pPr>
            <w:r>
              <w:rPr>
                <w:rFonts w:ascii="Calibri" w:hAnsi="Calibri" w:cs="Calibri"/>
                <w:color w:val="000000"/>
                <w:sz w:val="18"/>
                <w:szCs w:val="18"/>
                <w:lang w:val="en-US"/>
              </w:rPr>
              <w:t>-128.9</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r>
      <w:tr w:rsidR="00377F6C" w:rsidRPr="00C13338" w:rsidTr="00921ADB">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377F6C" w:rsidRPr="00C13338"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367" w:type="dxa"/>
            <w:tcBorders>
              <w:top w:val="single" w:sz="4" w:space="0" w:color="auto"/>
              <w:left w:val="nil"/>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53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377F6C">
            <w:pPr>
              <w:spacing w:after="0"/>
              <w:jc w:val="center"/>
              <w:rPr>
                <w:rFonts w:ascii="Calibri" w:hAnsi="Calibri" w:cs="Calibri"/>
                <w:color w:val="000000"/>
                <w:sz w:val="18"/>
                <w:szCs w:val="18"/>
                <w:lang w:val="en-US"/>
              </w:rPr>
            </w:pPr>
            <w:r>
              <w:rPr>
                <w:rFonts w:ascii="Calibri" w:hAnsi="Calibri" w:cs="Calibri"/>
                <w:color w:val="000000"/>
                <w:sz w:val="18"/>
                <w:szCs w:val="18"/>
                <w:lang w:val="en-US"/>
              </w:rPr>
              <w:t>-129.0</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r>
      <w:tr w:rsidR="00377F6C" w:rsidRPr="00C13338" w:rsidTr="00921ADB">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7F6C" w:rsidRPr="00C13338"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367" w:type="dxa"/>
            <w:tcBorders>
              <w:top w:val="single" w:sz="4" w:space="0" w:color="auto"/>
              <w:left w:val="nil"/>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53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377F6C">
            <w:pPr>
              <w:spacing w:after="0"/>
              <w:jc w:val="center"/>
              <w:rPr>
                <w:rFonts w:ascii="Calibri" w:hAnsi="Calibri" w:cs="Calibri"/>
                <w:color w:val="000000"/>
                <w:sz w:val="18"/>
                <w:szCs w:val="18"/>
                <w:lang w:val="en-US"/>
              </w:rPr>
            </w:pPr>
            <w:r>
              <w:rPr>
                <w:rFonts w:ascii="Calibri" w:hAnsi="Calibri" w:cs="Calibri"/>
                <w:color w:val="000000"/>
                <w:sz w:val="18"/>
                <w:szCs w:val="18"/>
                <w:lang w:val="en-US"/>
              </w:rPr>
              <w:t>-128.6</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r>
      <w:tr w:rsidR="00377F6C" w:rsidRPr="00C13338" w:rsidTr="00921ADB">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367" w:type="dxa"/>
            <w:tcBorders>
              <w:top w:val="single" w:sz="4" w:space="0" w:color="auto"/>
              <w:left w:val="nil"/>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53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377F6C">
            <w:pPr>
              <w:spacing w:after="0"/>
              <w:jc w:val="center"/>
              <w:rPr>
                <w:rFonts w:ascii="Calibri" w:hAnsi="Calibri" w:cs="Calibri"/>
                <w:color w:val="000000"/>
                <w:sz w:val="18"/>
                <w:szCs w:val="18"/>
                <w:lang w:val="en-US"/>
              </w:rPr>
            </w:pPr>
            <w:r>
              <w:rPr>
                <w:rFonts w:ascii="Calibri" w:hAnsi="Calibri" w:cs="Calibri"/>
                <w:color w:val="000000"/>
                <w:sz w:val="18"/>
                <w:szCs w:val="18"/>
                <w:lang w:val="en-US"/>
              </w:rPr>
              <w:t>-129.3</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r>
      <w:tr w:rsidR="00377F6C" w:rsidRPr="00C13338" w:rsidTr="00921ADB">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367" w:type="dxa"/>
            <w:tcBorders>
              <w:top w:val="single" w:sz="4" w:space="0" w:color="auto"/>
              <w:left w:val="nil"/>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53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377F6C">
            <w:pPr>
              <w:spacing w:after="0"/>
              <w:jc w:val="center"/>
              <w:rPr>
                <w:rFonts w:ascii="Calibri" w:hAnsi="Calibri" w:cs="Calibri"/>
                <w:color w:val="000000"/>
                <w:sz w:val="18"/>
                <w:szCs w:val="18"/>
                <w:lang w:val="en-US"/>
              </w:rPr>
            </w:pPr>
            <w:r>
              <w:rPr>
                <w:rFonts w:ascii="Calibri" w:hAnsi="Calibri" w:cs="Calibri"/>
                <w:color w:val="000000"/>
                <w:sz w:val="18"/>
                <w:szCs w:val="18"/>
                <w:lang w:val="en-US"/>
              </w:rPr>
              <w:t>-129.0</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r>
      <w:tr w:rsidR="00377F6C" w:rsidRPr="00C13338" w:rsidTr="00921ADB">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lastRenderedPageBreak/>
              <w:t>20</w:t>
            </w:r>
          </w:p>
        </w:tc>
        <w:tc>
          <w:tcPr>
            <w:tcW w:w="1367" w:type="dxa"/>
            <w:tcBorders>
              <w:top w:val="single" w:sz="4" w:space="0" w:color="auto"/>
              <w:left w:val="nil"/>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53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377F6C">
            <w:pPr>
              <w:spacing w:after="0"/>
              <w:jc w:val="center"/>
              <w:rPr>
                <w:rFonts w:ascii="Calibri" w:hAnsi="Calibri" w:cs="Calibri"/>
                <w:color w:val="000000"/>
                <w:sz w:val="18"/>
                <w:szCs w:val="18"/>
                <w:lang w:val="en-US"/>
              </w:rPr>
            </w:pPr>
            <w:r>
              <w:rPr>
                <w:rFonts w:ascii="Calibri" w:hAnsi="Calibri" w:cs="Calibri"/>
                <w:color w:val="000000"/>
                <w:sz w:val="18"/>
                <w:szCs w:val="18"/>
                <w:lang w:val="en-US"/>
              </w:rPr>
              <w:t>-129.4</w:t>
            </w:r>
          </w:p>
        </w:tc>
        <w:tc>
          <w:tcPr>
            <w:tcW w:w="1710" w:type="dxa"/>
            <w:tcBorders>
              <w:top w:val="single" w:sz="4" w:space="0" w:color="auto"/>
              <w:left w:val="single" w:sz="4" w:space="0" w:color="auto"/>
              <w:bottom w:val="single" w:sz="4" w:space="0" w:color="auto"/>
              <w:right w:val="single" w:sz="4" w:space="0" w:color="auto"/>
            </w:tcBorders>
            <w:vAlign w:val="center"/>
          </w:tcPr>
          <w:p w:rsidR="00377F6C" w:rsidRDefault="00377F6C" w:rsidP="00921ADB">
            <w:pPr>
              <w:spacing w:after="0"/>
              <w:jc w:val="center"/>
              <w:rPr>
                <w:rFonts w:ascii="Calibri" w:hAnsi="Calibri" w:cs="Calibri"/>
                <w:color w:val="000000"/>
                <w:sz w:val="18"/>
                <w:szCs w:val="18"/>
                <w:lang w:val="en-US"/>
              </w:rPr>
            </w:pPr>
            <w:r>
              <w:rPr>
                <w:rFonts w:ascii="Calibri" w:hAnsi="Calibri" w:cs="Calibri"/>
                <w:color w:val="000000"/>
                <w:sz w:val="18"/>
                <w:szCs w:val="18"/>
                <w:lang w:val="en-US"/>
              </w:rPr>
              <w:t>+16</w:t>
            </w:r>
          </w:p>
        </w:tc>
      </w:tr>
    </w:tbl>
    <w:p w:rsidR="005A129B" w:rsidRDefault="005A129B" w:rsidP="005A129B">
      <w:pPr>
        <w:rPr>
          <w:sz w:val="18"/>
          <w:szCs w:val="18"/>
        </w:rPr>
      </w:pPr>
    </w:p>
    <w:p w:rsidR="00377F6C" w:rsidRDefault="00377F6C" w:rsidP="005A129B">
      <w:pPr>
        <w:rPr>
          <w:sz w:val="18"/>
          <w:szCs w:val="18"/>
        </w:rPr>
      </w:pPr>
    </w:p>
    <w:p w:rsidR="00377F6C" w:rsidRDefault="00377F6C" w:rsidP="005A129B">
      <w:pPr>
        <w:rPr>
          <w:sz w:val="18"/>
          <w:szCs w:val="18"/>
        </w:rPr>
      </w:pPr>
    </w:p>
    <w:p w:rsidR="00377F6C" w:rsidRDefault="00377F6C" w:rsidP="005A129B">
      <w:pPr>
        <w:rPr>
          <w:sz w:val="18"/>
          <w:szCs w:val="18"/>
        </w:rPr>
      </w:pPr>
    </w:p>
    <w:p w:rsidR="00377F6C" w:rsidRDefault="00377F6C" w:rsidP="005A129B">
      <w:pPr>
        <w:rPr>
          <w:sz w:val="18"/>
          <w:szCs w:val="18"/>
        </w:rPr>
      </w:pPr>
    </w:p>
    <w:p w:rsidR="00377F6C" w:rsidRDefault="00377F6C" w:rsidP="005A129B">
      <w:pPr>
        <w:rPr>
          <w:sz w:val="18"/>
          <w:szCs w:val="18"/>
        </w:rPr>
      </w:pPr>
    </w:p>
    <w:p w:rsidR="00377F6C" w:rsidRDefault="00377F6C" w:rsidP="005A129B">
      <w:pPr>
        <w:rPr>
          <w:sz w:val="18"/>
          <w:szCs w:val="18"/>
        </w:rPr>
      </w:pPr>
    </w:p>
    <w:p w:rsidR="00377F6C" w:rsidRDefault="00377F6C" w:rsidP="005A129B">
      <w:pPr>
        <w:rPr>
          <w:sz w:val="18"/>
          <w:szCs w:val="18"/>
        </w:rPr>
      </w:pPr>
    </w:p>
    <w:p w:rsidR="005A129B" w:rsidRDefault="005A129B" w:rsidP="005A129B">
      <w:pPr>
        <w:rPr>
          <w:sz w:val="18"/>
          <w:szCs w:val="18"/>
        </w:rPr>
      </w:pPr>
    </w:p>
    <w:p w:rsidR="005A129B" w:rsidRDefault="004D3649" w:rsidP="00377F6C">
      <w:pPr>
        <w:ind w:left="720"/>
        <w:rPr>
          <w:sz w:val="18"/>
          <w:szCs w:val="18"/>
        </w:rPr>
      </w:pPr>
      <w:r>
        <w:rPr>
          <w:noProof/>
          <w:sz w:val="18"/>
          <w:szCs w:val="18"/>
          <w:lang w:val="en-US"/>
        </w:rPr>
        <w:drawing>
          <wp:inline distT="0" distB="0" distL="0" distR="0">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rsidR="005A129B" w:rsidRPr="00A725E2" w:rsidRDefault="00A725E2" w:rsidP="00377F6C">
      <w:pPr>
        <w:jc w:val="center"/>
        <w:rPr>
          <w:b/>
          <w:sz w:val="18"/>
          <w:szCs w:val="18"/>
        </w:rPr>
      </w:pPr>
      <w:r w:rsidRPr="00A725E2">
        <w:rPr>
          <w:b/>
          <w:sz w:val="18"/>
          <w:szCs w:val="18"/>
        </w:rPr>
        <w:t>Figure 2.</w:t>
      </w:r>
      <w:r w:rsidR="00F035F2">
        <w:rPr>
          <w:b/>
          <w:sz w:val="18"/>
          <w:szCs w:val="18"/>
        </w:rPr>
        <w:t>5</w:t>
      </w:r>
      <w:r w:rsidRPr="00A725E2">
        <w:rPr>
          <w:b/>
          <w:sz w:val="18"/>
          <w:szCs w:val="18"/>
        </w:rPr>
        <w:t xml:space="preserve"> </w:t>
      </w:r>
      <w:r w:rsidR="00377F6C" w:rsidRPr="00A725E2">
        <w:rPr>
          <w:b/>
          <w:sz w:val="18"/>
          <w:szCs w:val="18"/>
        </w:rPr>
        <w:t>Probability of Detection with co-located Base Stations</w:t>
      </w:r>
    </w:p>
    <w:p w:rsidR="005A129B" w:rsidRDefault="005A129B" w:rsidP="00222AFA">
      <w:pPr>
        <w:rPr>
          <w:rFonts w:ascii="Arial" w:hAnsi="Arial" w:cs="Arial"/>
        </w:rPr>
      </w:pPr>
    </w:p>
    <w:p w:rsidR="00D4122A" w:rsidRDefault="00D4122A">
      <w:pPr>
        <w:spacing w:after="0"/>
        <w:rPr>
          <w:rFonts w:ascii="Arial" w:hAnsi="Arial" w:cs="Arial"/>
          <w:sz w:val="24"/>
          <w:szCs w:val="24"/>
        </w:rPr>
      </w:pPr>
    </w:p>
    <w:p w:rsidR="001D6A7A" w:rsidRDefault="001D6A7A" w:rsidP="001D6A7A">
      <w:pPr>
        <w:rPr>
          <w:rFonts w:ascii="Arial" w:hAnsi="Arial" w:cs="Arial"/>
        </w:rPr>
      </w:pPr>
      <w:r w:rsidRPr="00F95BF3">
        <w:rPr>
          <w:rFonts w:ascii="Arial" w:hAnsi="Arial" w:cs="Arial"/>
          <w:sz w:val="24"/>
          <w:szCs w:val="24"/>
        </w:rPr>
        <w:t>2.</w:t>
      </w:r>
      <w:r w:rsidR="00F035F2">
        <w:rPr>
          <w:rFonts w:ascii="Arial" w:hAnsi="Arial" w:cs="Arial"/>
          <w:sz w:val="24"/>
          <w:szCs w:val="24"/>
        </w:rPr>
        <w:t>6</w:t>
      </w:r>
      <w:r w:rsidRPr="00F95BF3">
        <w:rPr>
          <w:rFonts w:ascii="Arial" w:hAnsi="Arial" w:cs="Arial"/>
          <w:sz w:val="24"/>
          <w:szCs w:val="24"/>
        </w:rPr>
        <w:t xml:space="preserve"> </w:t>
      </w:r>
      <w:r w:rsidRPr="00F95BF3">
        <w:rPr>
          <w:rFonts w:ascii="Arial" w:hAnsi="Arial" w:cs="Arial"/>
          <w:sz w:val="24"/>
          <w:szCs w:val="24"/>
        </w:rPr>
        <w:tab/>
      </w:r>
      <w:r>
        <w:rPr>
          <w:rFonts w:ascii="Arial" w:hAnsi="Arial" w:cs="Arial"/>
          <w:sz w:val="24"/>
          <w:szCs w:val="24"/>
        </w:rPr>
        <w:t>Receiver Intermodulation</w:t>
      </w:r>
    </w:p>
    <w:p w:rsidR="00A14A45" w:rsidRPr="00D4122A" w:rsidRDefault="00A14A45" w:rsidP="00092EBF">
      <w:r>
        <w:t>Figure 2.</w:t>
      </w:r>
      <w:r w:rsidR="00F035F2">
        <w:t>6</w:t>
      </w:r>
      <w:r>
        <w:t xml:space="preserve"> below shows the LMU’s third-order intermodulation results for 100 transmissions of a full-band SRS for each of the supported channel bandwidths.  Table 2.</w:t>
      </w:r>
      <w:r w:rsidR="00F035F2">
        <w:t>6</w:t>
      </w:r>
      <w:r>
        <w:t xml:space="preserve"> lists the mean power in dBm of the wanted signal and interferer for 90% probability of detection for each of the channel bandwidths.  The input power of the wanted signal was varied while holding the mean power of the interfering signal constant at the values shown.</w:t>
      </w:r>
      <w:r w:rsidR="00D4122A">
        <w:t xml:space="preserve">  The 90% detection points are within </w:t>
      </w:r>
      <w:r w:rsidR="00A1315A">
        <w:t xml:space="preserve">about </w:t>
      </w:r>
      <w:r w:rsidR="00D4122A">
        <w:t>2 dB of each other and about 6 dB greater than the reference sensitivity.</w:t>
      </w:r>
      <w:r>
        <w:t xml:space="preserve"> </w:t>
      </w:r>
    </w:p>
    <w:p w:rsidR="00F81883" w:rsidRPr="00D4122A" w:rsidRDefault="00D4122A" w:rsidP="00D4122A">
      <w:pPr>
        <w:ind w:left="720"/>
        <w:rPr>
          <w:sz w:val="18"/>
          <w:szCs w:val="18"/>
        </w:rPr>
      </w:pPr>
      <w:r>
        <w:rPr>
          <w:noProof/>
          <w:sz w:val="18"/>
          <w:szCs w:val="18"/>
          <w:lang w:val="en-US"/>
        </w:rPr>
        <w:lastRenderedPageBreak/>
        <w:t xml:space="preserve"> </w:t>
      </w:r>
      <w:r w:rsidR="00A14A45">
        <w:rPr>
          <w:noProof/>
          <w:sz w:val="18"/>
          <w:szCs w:val="18"/>
          <w:lang w:val="en-US"/>
        </w:rPr>
        <w:drawing>
          <wp:inline distT="0" distB="0" distL="0" distR="0" wp14:anchorId="780616C4" wp14:editId="1CA44A87">
            <wp:extent cx="5332730" cy="400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2730" cy="4001135"/>
                    </a:xfrm>
                    <a:prstGeom prst="rect">
                      <a:avLst/>
                    </a:prstGeom>
                    <a:noFill/>
                    <a:ln>
                      <a:noFill/>
                    </a:ln>
                  </pic:spPr>
                </pic:pic>
              </a:graphicData>
            </a:graphic>
          </wp:inline>
        </w:drawing>
      </w:r>
    </w:p>
    <w:p w:rsidR="00F27150" w:rsidRDefault="00D4122A" w:rsidP="00D4122A">
      <w:pPr>
        <w:jc w:val="center"/>
        <w:rPr>
          <w:rFonts w:ascii="Arial" w:hAnsi="Arial" w:cs="Arial"/>
        </w:rPr>
      </w:pPr>
      <w:r>
        <w:rPr>
          <w:b/>
          <w:sz w:val="18"/>
          <w:szCs w:val="18"/>
        </w:rPr>
        <w:t>Figure 2.</w:t>
      </w:r>
      <w:r w:rsidR="00F035F2">
        <w:rPr>
          <w:b/>
          <w:sz w:val="18"/>
          <w:szCs w:val="18"/>
        </w:rPr>
        <w:t>6</w:t>
      </w:r>
      <w:r w:rsidRPr="001220D9">
        <w:rPr>
          <w:b/>
          <w:sz w:val="18"/>
          <w:szCs w:val="18"/>
        </w:rPr>
        <w:t xml:space="preserve"> </w:t>
      </w:r>
      <w:r>
        <w:rPr>
          <w:b/>
          <w:sz w:val="18"/>
          <w:szCs w:val="18"/>
        </w:rPr>
        <w:t xml:space="preserve">Third-order Intermodulation with </w:t>
      </w:r>
      <w:r w:rsidRPr="001220D9">
        <w:rPr>
          <w:b/>
          <w:sz w:val="18"/>
          <w:szCs w:val="18"/>
        </w:rPr>
        <w:t xml:space="preserve">100 Transmissions of </w:t>
      </w:r>
      <w:smartTag w:uri="urn:schemas-microsoft-com:office:smarttags" w:element="stockticker">
        <w:r w:rsidRPr="001220D9">
          <w:rPr>
            <w:b/>
            <w:sz w:val="18"/>
            <w:szCs w:val="18"/>
          </w:rPr>
          <w:t>SRS</w:t>
        </w:r>
      </w:smartTag>
    </w:p>
    <w:p w:rsidR="00F27150" w:rsidRDefault="00F27150" w:rsidP="001D6A7A">
      <w:pPr>
        <w:rPr>
          <w:rFonts w:ascii="Arial" w:hAnsi="Arial" w:cs="Arial"/>
        </w:rPr>
      </w:pPr>
    </w:p>
    <w:tbl>
      <w:tblPr>
        <w:tblpPr w:leftFromText="180" w:rightFromText="180" w:vertAnchor="text" w:horzAnchor="margin" w:tblpXSpec="center" w:tblpY="207"/>
        <w:tblW w:w="8028" w:type="dxa"/>
        <w:tblLook w:val="04A0" w:firstRow="1" w:lastRow="0" w:firstColumn="1" w:lastColumn="0" w:noHBand="0" w:noVBand="1"/>
      </w:tblPr>
      <w:tblGrid>
        <w:gridCol w:w="1711"/>
        <w:gridCol w:w="1367"/>
        <w:gridCol w:w="1530"/>
        <w:gridCol w:w="1710"/>
        <w:gridCol w:w="1710"/>
      </w:tblGrid>
      <w:tr w:rsidR="00D4122A" w:rsidRPr="00C13338" w:rsidTr="00D4122A">
        <w:trPr>
          <w:trHeight w:val="323"/>
        </w:trPr>
        <w:tc>
          <w:tcPr>
            <w:tcW w:w="8028"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D4122A" w:rsidRPr="00C13338" w:rsidRDefault="00D4122A" w:rsidP="00F035F2">
            <w:pPr>
              <w:spacing w:after="0"/>
              <w:jc w:val="center"/>
              <w:rPr>
                <w:rFonts w:ascii="Calibri" w:hAnsi="Calibri" w:cs="Calibri"/>
                <w:color w:val="000000"/>
                <w:sz w:val="18"/>
                <w:szCs w:val="18"/>
                <w:lang w:val="en-US"/>
              </w:rPr>
            </w:pPr>
            <w:bookmarkStart w:id="0" w:name="OLE_LINK1"/>
            <w:bookmarkStart w:id="1" w:name="OLE_LINK2"/>
            <w:r>
              <w:rPr>
                <w:rFonts w:ascii="Calibri" w:hAnsi="Calibri" w:cs="Calibri"/>
                <w:color w:val="000000"/>
                <w:sz w:val="18"/>
                <w:szCs w:val="18"/>
                <w:lang w:val="en-US"/>
              </w:rPr>
              <w:t>Table 2.</w:t>
            </w:r>
            <w:r w:rsidR="00F035F2">
              <w:rPr>
                <w:rFonts w:ascii="Calibri" w:hAnsi="Calibri" w:cs="Calibri"/>
                <w:color w:val="000000"/>
                <w:sz w:val="18"/>
                <w:szCs w:val="18"/>
                <w:lang w:val="en-US"/>
              </w:rPr>
              <w:t>6</w:t>
            </w:r>
            <w:r>
              <w:rPr>
                <w:rFonts w:ascii="Calibri" w:hAnsi="Calibri" w:cs="Calibri"/>
                <w:color w:val="000000"/>
                <w:sz w:val="18"/>
                <w:szCs w:val="18"/>
                <w:lang w:val="en-US"/>
              </w:rPr>
              <w:t xml:space="preserve"> Intermodulation at 90% detection rate</w:t>
            </w:r>
          </w:p>
        </w:tc>
      </w:tr>
      <w:tr w:rsidR="00D4122A" w:rsidRPr="00C13338" w:rsidTr="00D4122A">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D4122A" w:rsidRPr="00C13338"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Channel BW (MHz)</w:t>
            </w:r>
          </w:p>
        </w:tc>
        <w:tc>
          <w:tcPr>
            <w:tcW w:w="1367" w:type="dxa"/>
            <w:tcBorders>
              <w:top w:val="single" w:sz="4" w:space="0" w:color="auto"/>
              <w:left w:val="nil"/>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Allocated RBs for SRS</w:t>
            </w:r>
          </w:p>
        </w:tc>
        <w:tc>
          <w:tcPr>
            <w:tcW w:w="153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Number of SRS transmissions</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Pr="001220D9"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Wanted signal mean power [dBm]</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Interferer signal mean power [dBm]</w:t>
            </w:r>
          </w:p>
        </w:tc>
      </w:tr>
      <w:tr w:rsidR="00D4122A" w:rsidRPr="00C13338" w:rsidTr="00D4122A">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D4122A" w:rsidRPr="00C13338"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1.4</w:t>
            </w:r>
          </w:p>
        </w:tc>
        <w:tc>
          <w:tcPr>
            <w:tcW w:w="1367" w:type="dxa"/>
            <w:tcBorders>
              <w:top w:val="single" w:sz="4" w:space="0" w:color="auto"/>
              <w:left w:val="nil"/>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4</w:t>
            </w:r>
          </w:p>
        </w:tc>
        <w:tc>
          <w:tcPr>
            <w:tcW w:w="153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-123.3</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r w:rsidR="00D4122A" w:rsidRPr="00C13338" w:rsidTr="00D4122A">
        <w:trPr>
          <w:trHeight w:val="300"/>
        </w:trPr>
        <w:tc>
          <w:tcPr>
            <w:tcW w:w="1711" w:type="dxa"/>
            <w:tcBorders>
              <w:top w:val="nil"/>
              <w:left w:val="single" w:sz="4" w:space="0" w:color="auto"/>
              <w:bottom w:val="single" w:sz="4" w:space="0" w:color="auto"/>
              <w:right w:val="single" w:sz="4" w:space="0" w:color="auto"/>
            </w:tcBorders>
            <w:shd w:val="clear" w:color="auto" w:fill="auto"/>
            <w:noWrap/>
            <w:vAlign w:val="center"/>
            <w:hideMark/>
          </w:tcPr>
          <w:p w:rsidR="00D4122A" w:rsidRPr="00C13338"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3</w:t>
            </w:r>
          </w:p>
        </w:tc>
        <w:tc>
          <w:tcPr>
            <w:tcW w:w="1367" w:type="dxa"/>
            <w:tcBorders>
              <w:top w:val="single" w:sz="4" w:space="0" w:color="auto"/>
              <w:left w:val="nil"/>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w:t>
            </w:r>
          </w:p>
        </w:tc>
        <w:tc>
          <w:tcPr>
            <w:tcW w:w="153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-123.5</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r w:rsidR="00D4122A" w:rsidRPr="00C13338" w:rsidTr="00D4122A">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22A" w:rsidRPr="00C13338"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5</w:t>
            </w:r>
          </w:p>
        </w:tc>
        <w:tc>
          <w:tcPr>
            <w:tcW w:w="1367" w:type="dxa"/>
            <w:tcBorders>
              <w:top w:val="single" w:sz="4" w:space="0" w:color="auto"/>
              <w:left w:val="nil"/>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24</w:t>
            </w:r>
          </w:p>
        </w:tc>
        <w:tc>
          <w:tcPr>
            <w:tcW w:w="153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-124.3</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r w:rsidR="00D4122A" w:rsidRPr="00C13338" w:rsidTr="00D4122A">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w:t>
            </w:r>
          </w:p>
        </w:tc>
        <w:tc>
          <w:tcPr>
            <w:tcW w:w="1367" w:type="dxa"/>
            <w:tcBorders>
              <w:top w:val="single" w:sz="4" w:space="0" w:color="auto"/>
              <w:left w:val="nil"/>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48</w:t>
            </w:r>
          </w:p>
        </w:tc>
        <w:tc>
          <w:tcPr>
            <w:tcW w:w="153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-124.4</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r w:rsidR="00D4122A" w:rsidRPr="00C13338" w:rsidTr="00D4122A">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15</w:t>
            </w:r>
          </w:p>
        </w:tc>
        <w:tc>
          <w:tcPr>
            <w:tcW w:w="1367" w:type="dxa"/>
            <w:tcBorders>
              <w:top w:val="single" w:sz="4" w:space="0" w:color="auto"/>
              <w:left w:val="nil"/>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72</w:t>
            </w:r>
          </w:p>
        </w:tc>
        <w:tc>
          <w:tcPr>
            <w:tcW w:w="153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-122.5</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tr w:rsidR="00D4122A" w:rsidRPr="00C13338" w:rsidTr="00D4122A">
        <w:trPr>
          <w:trHeight w:val="300"/>
        </w:trPr>
        <w:tc>
          <w:tcPr>
            <w:tcW w:w="17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20</w:t>
            </w:r>
          </w:p>
        </w:tc>
        <w:tc>
          <w:tcPr>
            <w:tcW w:w="1367" w:type="dxa"/>
            <w:tcBorders>
              <w:top w:val="single" w:sz="4" w:space="0" w:color="auto"/>
              <w:left w:val="nil"/>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96</w:t>
            </w:r>
          </w:p>
        </w:tc>
        <w:tc>
          <w:tcPr>
            <w:tcW w:w="153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100</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-124.5</w:t>
            </w:r>
          </w:p>
        </w:tc>
        <w:tc>
          <w:tcPr>
            <w:tcW w:w="1710" w:type="dxa"/>
            <w:tcBorders>
              <w:top w:val="single" w:sz="4" w:space="0" w:color="auto"/>
              <w:left w:val="single" w:sz="4" w:space="0" w:color="auto"/>
              <w:bottom w:val="single" w:sz="4" w:space="0" w:color="auto"/>
              <w:right w:val="single" w:sz="4" w:space="0" w:color="auto"/>
            </w:tcBorders>
            <w:vAlign w:val="center"/>
          </w:tcPr>
          <w:p w:rsidR="00D4122A" w:rsidRDefault="00D4122A" w:rsidP="00D4122A">
            <w:pPr>
              <w:spacing w:after="0"/>
              <w:jc w:val="center"/>
              <w:rPr>
                <w:rFonts w:ascii="Calibri" w:hAnsi="Calibri" w:cs="Calibri"/>
                <w:color w:val="000000"/>
                <w:sz w:val="18"/>
                <w:szCs w:val="18"/>
                <w:lang w:val="en-US"/>
              </w:rPr>
            </w:pPr>
            <w:r>
              <w:rPr>
                <w:rFonts w:ascii="Calibri" w:hAnsi="Calibri" w:cs="Calibri"/>
                <w:color w:val="000000"/>
                <w:sz w:val="18"/>
                <w:szCs w:val="18"/>
                <w:lang w:val="en-US"/>
              </w:rPr>
              <w:t>-52</w:t>
            </w:r>
          </w:p>
        </w:tc>
      </w:tr>
      <w:bookmarkEnd w:id="0"/>
      <w:bookmarkEnd w:id="1"/>
    </w:tbl>
    <w:p w:rsidR="001F2B12" w:rsidRDefault="001F2B12" w:rsidP="001D6A7A">
      <w:pPr>
        <w:rPr>
          <w:rFonts w:ascii="Arial" w:hAnsi="Arial" w:cs="Arial"/>
        </w:rPr>
      </w:pPr>
    </w:p>
    <w:p w:rsidR="001F2B12" w:rsidRDefault="001F2B12" w:rsidP="001D6A7A">
      <w:pPr>
        <w:rPr>
          <w:rFonts w:ascii="Arial" w:hAnsi="Arial" w:cs="Arial"/>
        </w:rPr>
      </w:pPr>
    </w:p>
    <w:p w:rsidR="00B303DA" w:rsidRDefault="00B303DA">
      <w:pPr>
        <w:rPr>
          <w:rFonts w:ascii="Arial" w:hAnsi="Arial" w:cs="Arial"/>
        </w:rPr>
      </w:pPr>
    </w:p>
    <w:p w:rsidR="00D4122A" w:rsidRDefault="00D4122A">
      <w:pPr>
        <w:spacing w:after="0"/>
        <w:rPr>
          <w:rFonts w:ascii="Arial" w:hAnsi="Arial" w:cs="Arial"/>
        </w:rPr>
      </w:pPr>
      <w:r>
        <w:rPr>
          <w:rFonts w:ascii="Arial" w:hAnsi="Arial" w:cs="Arial"/>
        </w:rPr>
        <w:t xml:space="preserve"> </w:t>
      </w:r>
      <w:r>
        <w:rPr>
          <w:rFonts w:ascii="Arial" w:hAnsi="Arial" w:cs="Arial"/>
        </w:rPr>
        <w:br w:type="page"/>
      </w:r>
    </w:p>
    <w:p w:rsidR="00D4122A" w:rsidRDefault="00D4122A" w:rsidP="008F628D">
      <w:pPr>
        <w:pBdr>
          <w:bottom w:val="single" w:sz="4" w:space="3" w:color="auto"/>
        </w:pBdr>
        <w:rPr>
          <w:rFonts w:ascii="Arial" w:hAnsi="Arial" w:cs="Arial"/>
        </w:rPr>
      </w:pPr>
    </w:p>
    <w:p w:rsidR="008F628D" w:rsidRDefault="008F628D" w:rsidP="008F628D">
      <w:pPr>
        <w:rPr>
          <w:rFonts w:ascii="Arial" w:hAnsi="Arial" w:cs="Arial"/>
          <w:sz w:val="28"/>
          <w:szCs w:val="28"/>
        </w:rPr>
      </w:pPr>
      <w:r>
        <w:rPr>
          <w:rFonts w:ascii="Arial" w:hAnsi="Arial" w:cs="Arial"/>
          <w:sz w:val="28"/>
          <w:szCs w:val="28"/>
        </w:rPr>
        <w:t>3</w:t>
      </w:r>
      <w:r w:rsidRPr="006F61C4">
        <w:rPr>
          <w:rFonts w:ascii="Arial" w:hAnsi="Arial" w:cs="Arial"/>
          <w:sz w:val="28"/>
          <w:szCs w:val="28"/>
        </w:rPr>
        <w:tab/>
      </w:r>
      <w:r>
        <w:rPr>
          <w:rFonts w:ascii="Arial" w:hAnsi="Arial" w:cs="Arial"/>
          <w:sz w:val="28"/>
          <w:szCs w:val="28"/>
        </w:rPr>
        <w:t>Summary</w:t>
      </w:r>
    </w:p>
    <w:p w:rsidR="008F628D" w:rsidRDefault="008F628D" w:rsidP="008F628D">
      <w:pPr>
        <w:rPr>
          <w:rFonts w:ascii="Arial" w:hAnsi="Arial" w:cs="Arial"/>
        </w:rPr>
      </w:pPr>
      <w:r w:rsidRPr="00F05C9E">
        <w:rPr>
          <w:rFonts w:ascii="Arial" w:hAnsi="Arial" w:cs="Arial"/>
        </w:rPr>
        <w:t xml:space="preserve">This contribution </w:t>
      </w:r>
      <w:r w:rsidR="0024093F">
        <w:rPr>
          <w:rFonts w:ascii="Arial" w:hAnsi="Arial" w:cs="Arial"/>
        </w:rPr>
        <w:t xml:space="preserve">presents the results of simulation studies conducted </w:t>
      </w:r>
    </w:p>
    <w:p w:rsidR="00F05C9E" w:rsidRDefault="00F05C9E" w:rsidP="00F05C9E">
      <w:pPr>
        <w:numPr>
          <w:ilvl w:val="0"/>
          <w:numId w:val="6"/>
        </w:numPr>
        <w:rPr>
          <w:rFonts w:ascii="Arial" w:hAnsi="Arial" w:cs="Arial"/>
        </w:rPr>
      </w:pPr>
      <w:r>
        <w:rPr>
          <w:rFonts w:ascii="Arial" w:hAnsi="Arial" w:cs="Arial"/>
        </w:rPr>
        <w:t>Sensitivity</w:t>
      </w:r>
    </w:p>
    <w:p w:rsidR="00F05C9E" w:rsidRDefault="00F05C9E" w:rsidP="00F05C9E">
      <w:pPr>
        <w:numPr>
          <w:ilvl w:val="0"/>
          <w:numId w:val="6"/>
        </w:numPr>
        <w:rPr>
          <w:rFonts w:ascii="Arial" w:hAnsi="Arial" w:cs="Arial"/>
        </w:rPr>
      </w:pPr>
      <w:r>
        <w:rPr>
          <w:rFonts w:ascii="Arial" w:hAnsi="Arial" w:cs="Arial"/>
        </w:rPr>
        <w:t>Dynamic Range</w:t>
      </w:r>
    </w:p>
    <w:p w:rsidR="00F05C9E" w:rsidRDefault="00F05C9E" w:rsidP="00F05C9E">
      <w:pPr>
        <w:numPr>
          <w:ilvl w:val="0"/>
          <w:numId w:val="6"/>
        </w:numPr>
        <w:rPr>
          <w:rFonts w:ascii="Arial" w:hAnsi="Arial" w:cs="Arial"/>
        </w:rPr>
      </w:pPr>
      <w:bookmarkStart w:id="2" w:name="_GoBack"/>
      <w:bookmarkEnd w:id="2"/>
      <w:r>
        <w:rPr>
          <w:rFonts w:ascii="Arial" w:hAnsi="Arial" w:cs="Arial"/>
        </w:rPr>
        <w:t>Adjacent channel selectivity</w:t>
      </w:r>
    </w:p>
    <w:p w:rsidR="00F05C9E" w:rsidRDefault="00F05C9E" w:rsidP="00F05C9E">
      <w:pPr>
        <w:numPr>
          <w:ilvl w:val="0"/>
          <w:numId w:val="6"/>
        </w:numPr>
        <w:rPr>
          <w:rFonts w:ascii="Arial" w:hAnsi="Arial" w:cs="Arial"/>
        </w:rPr>
      </w:pPr>
      <w:r>
        <w:rPr>
          <w:rFonts w:ascii="Arial" w:hAnsi="Arial" w:cs="Arial"/>
        </w:rPr>
        <w:t>Blocking characteristics</w:t>
      </w:r>
    </w:p>
    <w:p w:rsidR="00F05C9E" w:rsidRDefault="00F05C9E" w:rsidP="00F05C9E">
      <w:pPr>
        <w:numPr>
          <w:ilvl w:val="0"/>
          <w:numId w:val="6"/>
        </w:numPr>
        <w:rPr>
          <w:rFonts w:ascii="Arial" w:hAnsi="Arial" w:cs="Arial"/>
        </w:rPr>
      </w:pPr>
      <w:r>
        <w:rPr>
          <w:rFonts w:ascii="Arial" w:hAnsi="Arial" w:cs="Arial"/>
        </w:rPr>
        <w:t>Inter-modulation</w:t>
      </w:r>
    </w:p>
    <w:p w:rsidR="00F05C9E" w:rsidRDefault="00F05C9E" w:rsidP="00F05C9E">
      <w:pPr>
        <w:numPr>
          <w:ilvl w:val="0"/>
          <w:numId w:val="6"/>
        </w:numPr>
        <w:rPr>
          <w:rFonts w:ascii="Arial" w:hAnsi="Arial" w:cs="Arial"/>
        </w:rPr>
      </w:pPr>
      <w:r>
        <w:rPr>
          <w:rFonts w:ascii="Arial" w:hAnsi="Arial" w:cs="Arial"/>
        </w:rPr>
        <w:t>False alarm rate</w:t>
      </w:r>
    </w:p>
    <w:p w:rsidR="00F05C9E" w:rsidRDefault="00F05C9E" w:rsidP="00F05C9E">
      <w:pPr>
        <w:rPr>
          <w:rFonts w:ascii="Arial" w:hAnsi="Arial" w:cs="Arial"/>
        </w:rPr>
      </w:pPr>
    </w:p>
    <w:p w:rsidR="00F05C9E" w:rsidRDefault="00F05C9E" w:rsidP="00F05C9E">
      <w:pPr>
        <w:pBdr>
          <w:bottom w:val="single" w:sz="4" w:space="3" w:color="auto"/>
        </w:pBdr>
        <w:rPr>
          <w:rFonts w:ascii="Arial" w:hAnsi="Arial" w:cs="Arial"/>
        </w:rPr>
      </w:pPr>
    </w:p>
    <w:p w:rsidR="00F05C9E" w:rsidRDefault="00F05C9E" w:rsidP="00F05C9E">
      <w:pPr>
        <w:rPr>
          <w:rFonts w:ascii="Arial" w:hAnsi="Arial" w:cs="Arial"/>
          <w:sz w:val="28"/>
          <w:szCs w:val="28"/>
        </w:rPr>
      </w:pPr>
      <w:r>
        <w:rPr>
          <w:rFonts w:ascii="Arial" w:hAnsi="Arial" w:cs="Arial"/>
          <w:sz w:val="28"/>
          <w:szCs w:val="28"/>
        </w:rPr>
        <w:t>4</w:t>
      </w:r>
      <w:r w:rsidRPr="006F61C4">
        <w:rPr>
          <w:rFonts w:ascii="Arial" w:hAnsi="Arial" w:cs="Arial"/>
          <w:sz w:val="28"/>
          <w:szCs w:val="28"/>
        </w:rPr>
        <w:tab/>
      </w:r>
      <w:r>
        <w:rPr>
          <w:rFonts w:ascii="Arial" w:hAnsi="Arial" w:cs="Arial"/>
          <w:sz w:val="28"/>
          <w:szCs w:val="28"/>
        </w:rPr>
        <w:t>References</w:t>
      </w:r>
    </w:p>
    <w:p w:rsidR="00F05C9E" w:rsidRDefault="00F05C9E" w:rsidP="00F05C9E">
      <w:pPr>
        <w:ind w:firstLine="720"/>
        <w:rPr>
          <w:rFonts w:ascii="Arial" w:hAnsi="Arial" w:cs="Arial"/>
        </w:rPr>
      </w:pPr>
      <w:r w:rsidRPr="00F05C9E">
        <w:rPr>
          <w:rFonts w:ascii="Arial" w:hAnsi="Arial" w:cs="Arial"/>
        </w:rPr>
        <w:t>1.</w:t>
      </w:r>
      <w:r>
        <w:rPr>
          <w:rFonts w:ascii="Arial" w:hAnsi="Arial" w:cs="Arial"/>
        </w:rPr>
        <w:tab/>
      </w:r>
      <w:r w:rsidR="00EB715A">
        <w:rPr>
          <w:rFonts w:ascii="Arial" w:hAnsi="Arial" w:cs="Arial"/>
        </w:rPr>
        <w:t xml:space="preserve">3GPP </w:t>
      </w:r>
      <w:r>
        <w:rPr>
          <w:rFonts w:ascii="Arial" w:hAnsi="Arial" w:cs="Arial"/>
        </w:rPr>
        <w:t xml:space="preserve">TS 36.111 </w:t>
      </w:r>
      <w:r w:rsidR="00EB715A">
        <w:rPr>
          <w:rFonts w:ascii="Arial" w:hAnsi="Arial" w:cs="Arial"/>
        </w:rPr>
        <w:t>“</w:t>
      </w:r>
      <w:r w:rsidR="00696F09">
        <w:rPr>
          <w:rFonts w:ascii="Arial" w:hAnsi="Arial" w:cs="Arial"/>
        </w:rPr>
        <w:t>Location Measurement Unit (LMU) performance specification</w:t>
      </w:r>
      <w:r w:rsidR="00EB715A">
        <w:rPr>
          <w:rFonts w:ascii="Arial" w:hAnsi="Arial" w:cs="Arial"/>
        </w:rPr>
        <w:t>”</w:t>
      </w:r>
      <w:r w:rsidRPr="00F05C9E">
        <w:rPr>
          <w:rFonts w:ascii="Arial" w:hAnsi="Arial" w:cs="Arial"/>
        </w:rPr>
        <w:t xml:space="preserve"> </w:t>
      </w:r>
      <w:r>
        <w:rPr>
          <w:rFonts w:ascii="Arial" w:hAnsi="Arial" w:cs="Arial"/>
        </w:rPr>
        <w:tab/>
      </w:r>
    </w:p>
    <w:p w:rsidR="00365BE9" w:rsidRDefault="00365BE9" w:rsidP="00F05C9E">
      <w:pPr>
        <w:ind w:firstLine="720"/>
        <w:rPr>
          <w:rFonts w:ascii="Arial" w:hAnsi="Arial" w:cs="Arial"/>
        </w:rPr>
      </w:pPr>
      <w:r>
        <w:rPr>
          <w:rFonts w:ascii="Arial" w:hAnsi="Arial" w:cs="Arial"/>
        </w:rPr>
        <w:t>2</w:t>
      </w:r>
      <w:r w:rsidRPr="00F05C9E">
        <w:rPr>
          <w:rFonts w:ascii="Arial" w:hAnsi="Arial" w:cs="Arial"/>
        </w:rPr>
        <w:t>.</w:t>
      </w:r>
      <w:r>
        <w:rPr>
          <w:rFonts w:ascii="Arial" w:hAnsi="Arial" w:cs="Arial"/>
        </w:rPr>
        <w:tab/>
      </w:r>
      <w:r w:rsidR="00EB715A">
        <w:rPr>
          <w:rFonts w:ascii="Arial" w:hAnsi="Arial" w:cs="Arial"/>
        </w:rPr>
        <w:t xml:space="preserve">3GPP </w:t>
      </w:r>
      <w:r>
        <w:rPr>
          <w:rFonts w:ascii="Arial" w:hAnsi="Arial" w:cs="Arial"/>
        </w:rPr>
        <w:t xml:space="preserve">TS 36.211 </w:t>
      </w:r>
      <w:r w:rsidR="00EB715A">
        <w:rPr>
          <w:rFonts w:ascii="Arial" w:hAnsi="Arial" w:cs="Arial"/>
        </w:rPr>
        <w:t>“</w:t>
      </w:r>
      <w:r>
        <w:rPr>
          <w:rFonts w:ascii="Arial" w:hAnsi="Arial" w:cs="Arial"/>
        </w:rPr>
        <w:t>Physical Channel and Modulation</w:t>
      </w:r>
      <w:r w:rsidR="00EB715A">
        <w:rPr>
          <w:rFonts w:ascii="Arial" w:hAnsi="Arial" w:cs="Arial"/>
        </w:rPr>
        <w:t>”</w:t>
      </w:r>
    </w:p>
    <w:p w:rsidR="00EB715A" w:rsidRDefault="00EB715A" w:rsidP="00EB715A">
      <w:pPr>
        <w:ind w:firstLine="720"/>
        <w:rPr>
          <w:rFonts w:ascii="Arial" w:hAnsi="Arial" w:cs="Arial"/>
        </w:rPr>
      </w:pPr>
      <w:r>
        <w:rPr>
          <w:rFonts w:ascii="Arial" w:hAnsi="Arial" w:cs="Arial"/>
        </w:rPr>
        <w:t>3</w:t>
      </w:r>
      <w:r w:rsidRPr="00F05C9E">
        <w:rPr>
          <w:rFonts w:ascii="Arial" w:hAnsi="Arial" w:cs="Arial"/>
        </w:rPr>
        <w:t>.</w:t>
      </w:r>
      <w:r>
        <w:rPr>
          <w:rFonts w:ascii="Arial" w:hAnsi="Arial" w:cs="Arial"/>
        </w:rPr>
        <w:tab/>
        <w:t>3GPP TS 36.</w:t>
      </w:r>
      <w:r w:rsidR="0024093F">
        <w:rPr>
          <w:rFonts w:ascii="Arial" w:hAnsi="Arial" w:cs="Arial"/>
        </w:rPr>
        <w:t>1</w:t>
      </w:r>
      <w:r>
        <w:rPr>
          <w:rFonts w:ascii="Arial" w:hAnsi="Arial" w:cs="Arial"/>
        </w:rPr>
        <w:t>04 “Base Station (BS) radio transmission and reception”</w:t>
      </w:r>
    </w:p>
    <w:p w:rsidR="0024093F" w:rsidRPr="00F05C9E" w:rsidRDefault="0024093F" w:rsidP="00EB715A">
      <w:pPr>
        <w:ind w:firstLine="720"/>
        <w:rPr>
          <w:rFonts w:ascii="Arial" w:hAnsi="Arial" w:cs="Arial"/>
        </w:rPr>
      </w:pPr>
      <w:r>
        <w:rPr>
          <w:rFonts w:ascii="Arial" w:hAnsi="Arial" w:cs="Arial"/>
        </w:rPr>
        <w:t>4.</w:t>
      </w:r>
      <w:r>
        <w:rPr>
          <w:rFonts w:ascii="Arial" w:hAnsi="Arial" w:cs="Arial"/>
        </w:rPr>
        <w:tab/>
        <w:t>R4-130165 “</w:t>
      </w:r>
      <w:r>
        <w:rPr>
          <w:rFonts w:ascii="Calibri" w:hAnsi="Calibri" w:cs="Calibri"/>
          <w:sz w:val="22"/>
          <w:szCs w:val="22"/>
        </w:rPr>
        <w:t>UTDOA Simulation Assumptions and Metrics (TS 36.111 Section 5 LMU RF Req)”</w:t>
      </w:r>
    </w:p>
    <w:p w:rsidR="00EB715A" w:rsidRPr="00F05C9E" w:rsidRDefault="00EB715A" w:rsidP="00F05C9E">
      <w:pPr>
        <w:ind w:firstLine="720"/>
        <w:rPr>
          <w:rFonts w:ascii="Arial" w:hAnsi="Arial" w:cs="Arial"/>
        </w:rPr>
      </w:pPr>
    </w:p>
    <w:p w:rsidR="00F05C9E" w:rsidRPr="00F05C9E" w:rsidRDefault="00F05C9E" w:rsidP="00F05C9E">
      <w:pPr>
        <w:ind w:left="720"/>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p w:rsidR="00B303DA" w:rsidRDefault="00B303DA">
      <w:pPr>
        <w:rPr>
          <w:rFonts w:ascii="Arial" w:hAnsi="Arial" w:cs="Arial"/>
        </w:rPr>
      </w:pPr>
    </w:p>
    <w:sectPr w:rsidR="00B303D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563" w:rsidRDefault="00665563">
      <w:pPr>
        <w:spacing w:after="0"/>
      </w:pPr>
      <w:r>
        <w:separator/>
      </w:r>
    </w:p>
  </w:endnote>
  <w:endnote w:type="continuationSeparator" w:id="0">
    <w:p w:rsidR="00665563" w:rsidRDefault="006655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Lucida Grande">
    <w:altName w:val="Courier"/>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563" w:rsidRDefault="00665563">
      <w:pPr>
        <w:spacing w:after="0"/>
      </w:pPr>
      <w:r>
        <w:separator/>
      </w:r>
    </w:p>
  </w:footnote>
  <w:footnote w:type="continuationSeparator" w:id="0">
    <w:p w:rsidR="00665563" w:rsidRDefault="006655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3DBB6859"/>
    <w:multiLevelType w:val="hybridMultilevel"/>
    <w:tmpl w:val="8A3C8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A1544AD"/>
    <w:multiLevelType w:val="hybridMultilevel"/>
    <w:tmpl w:val="CD5842C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1"/>
  </w:num>
  <w:num w:numId="4">
    <w:abstractNumId w:val="5"/>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FF8"/>
    <w:rsid w:val="00050D2E"/>
    <w:rsid w:val="00051F97"/>
    <w:rsid w:val="00083CFA"/>
    <w:rsid w:val="00083FE7"/>
    <w:rsid w:val="00092EBF"/>
    <w:rsid w:val="000A43C7"/>
    <w:rsid w:val="000A48D5"/>
    <w:rsid w:val="000D66EC"/>
    <w:rsid w:val="000D6792"/>
    <w:rsid w:val="000F2157"/>
    <w:rsid w:val="00100439"/>
    <w:rsid w:val="00100D1E"/>
    <w:rsid w:val="00106CF8"/>
    <w:rsid w:val="00110898"/>
    <w:rsid w:val="00116EC8"/>
    <w:rsid w:val="00121895"/>
    <w:rsid w:val="001220D9"/>
    <w:rsid w:val="00122D4B"/>
    <w:rsid w:val="00134683"/>
    <w:rsid w:val="00186A37"/>
    <w:rsid w:val="0019399D"/>
    <w:rsid w:val="001D1058"/>
    <w:rsid w:val="001D27FB"/>
    <w:rsid w:val="001D6A7A"/>
    <w:rsid w:val="001D79B0"/>
    <w:rsid w:val="001F2B12"/>
    <w:rsid w:val="00210ADC"/>
    <w:rsid w:val="002127F2"/>
    <w:rsid w:val="00215B18"/>
    <w:rsid w:val="00222AFA"/>
    <w:rsid w:val="002258F9"/>
    <w:rsid w:val="0024093F"/>
    <w:rsid w:val="00256451"/>
    <w:rsid w:val="00256EDE"/>
    <w:rsid w:val="00267A4C"/>
    <w:rsid w:val="002713F3"/>
    <w:rsid w:val="00280585"/>
    <w:rsid w:val="00290FF6"/>
    <w:rsid w:val="002A2E64"/>
    <w:rsid w:val="002C572C"/>
    <w:rsid w:val="002F7A2E"/>
    <w:rsid w:val="003154A8"/>
    <w:rsid w:val="003304B8"/>
    <w:rsid w:val="00356294"/>
    <w:rsid w:val="00356830"/>
    <w:rsid w:val="00365219"/>
    <w:rsid w:val="00365BE9"/>
    <w:rsid w:val="00375FD8"/>
    <w:rsid w:val="00377F6C"/>
    <w:rsid w:val="003A1909"/>
    <w:rsid w:val="003A3624"/>
    <w:rsid w:val="003F5A3C"/>
    <w:rsid w:val="00403A72"/>
    <w:rsid w:val="0042449D"/>
    <w:rsid w:val="00425C49"/>
    <w:rsid w:val="00426E35"/>
    <w:rsid w:val="004331DF"/>
    <w:rsid w:val="004376F6"/>
    <w:rsid w:val="004456C3"/>
    <w:rsid w:val="004463EE"/>
    <w:rsid w:val="0046653D"/>
    <w:rsid w:val="00486790"/>
    <w:rsid w:val="00497D37"/>
    <w:rsid w:val="004B12A7"/>
    <w:rsid w:val="004B3A0A"/>
    <w:rsid w:val="004D0F23"/>
    <w:rsid w:val="004D3649"/>
    <w:rsid w:val="004F1C95"/>
    <w:rsid w:val="004F4503"/>
    <w:rsid w:val="00503AC5"/>
    <w:rsid w:val="005048E8"/>
    <w:rsid w:val="005130B3"/>
    <w:rsid w:val="00520969"/>
    <w:rsid w:val="005245C5"/>
    <w:rsid w:val="00525B4A"/>
    <w:rsid w:val="00530406"/>
    <w:rsid w:val="005333A2"/>
    <w:rsid w:val="00551957"/>
    <w:rsid w:val="00584BEB"/>
    <w:rsid w:val="00595CBD"/>
    <w:rsid w:val="005A129B"/>
    <w:rsid w:val="005A3C8C"/>
    <w:rsid w:val="005C0EAD"/>
    <w:rsid w:val="005D49D0"/>
    <w:rsid w:val="005F76F1"/>
    <w:rsid w:val="006409DC"/>
    <w:rsid w:val="00646F88"/>
    <w:rsid w:val="00665563"/>
    <w:rsid w:val="00696C7C"/>
    <w:rsid w:val="00696F09"/>
    <w:rsid w:val="006B550F"/>
    <w:rsid w:val="006E06D5"/>
    <w:rsid w:val="006F61C4"/>
    <w:rsid w:val="0073638C"/>
    <w:rsid w:val="00787DB2"/>
    <w:rsid w:val="00792412"/>
    <w:rsid w:val="007A5BB7"/>
    <w:rsid w:val="007C034F"/>
    <w:rsid w:val="007F2B31"/>
    <w:rsid w:val="008039DD"/>
    <w:rsid w:val="00806F8E"/>
    <w:rsid w:val="00826BCE"/>
    <w:rsid w:val="0083305F"/>
    <w:rsid w:val="00841278"/>
    <w:rsid w:val="0084412A"/>
    <w:rsid w:val="008452FE"/>
    <w:rsid w:val="0085278F"/>
    <w:rsid w:val="008641E0"/>
    <w:rsid w:val="0086448A"/>
    <w:rsid w:val="00867E81"/>
    <w:rsid w:val="008906D6"/>
    <w:rsid w:val="008A7016"/>
    <w:rsid w:val="008B2FD4"/>
    <w:rsid w:val="008C3750"/>
    <w:rsid w:val="008D71E9"/>
    <w:rsid w:val="008E24A5"/>
    <w:rsid w:val="008F628D"/>
    <w:rsid w:val="008F7FF8"/>
    <w:rsid w:val="00910AE7"/>
    <w:rsid w:val="0091138A"/>
    <w:rsid w:val="00930181"/>
    <w:rsid w:val="00942BD6"/>
    <w:rsid w:val="009439AE"/>
    <w:rsid w:val="009878D9"/>
    <w:rsid w:val="0099120D"/>
    <w:rsid w:val="009A45BB"/>
    <w:rsid w:val="009B6A31"/>
    <w:rsid w:val="009D0452"/>
    <w:rsid w:val="009D070D"/>
    <w:rsid w:val="009D15AC"/>
    <w:rsid w:val="009D79EE"/>
    <w:rsid w:val="009E616C"/>
    <w:rsid w:val="009F6EB7"/>
    <w:rsid w:val="00A031F9"/>
    <w:rsid w:val="00A05F0A"/>
    <w:rsid w:val="00A1315A"/>
    <w:rsid w:val="00A13A9D"/>
    <w:rsid w:val="00A14A45"/>
    <w:rsid w:val="00A236BE"/>
    <w:rsid w:val="00A36B56"/>
    <w:rsid w:val="00A50800"/>
    <w:rsid w:val="00A725E2"/>
    <w:rsid w:val="00A72BC9"/>
    <w:rsid w:val="00AA506F"/>
    <w:rsid w:val="00AB341F"/>
    <w:rsid w:val="00AC45A2"/>
    <w:rsid w:val="00B221B8"/>
    <w:rsid w:val="00B303DA"/>
    <w:rsid w:val="00B44735"/>
    <w:rsid w:val="00B71E08"/>
    <w:rsid w:val="00BB251A"/>
    <w:rsid w:val="00BC0978"/>
    <w:rsid w:val="00BC6EE1"/>
    <w:rsid w:val="00BD0062"/>
    <w:rsid w:val="00BD7C43"/>
    <w:rsid w:val="00BE2C4B"/>
    <w:rsid w:val="00BE3E47"/>
    <w:rsid w:val="00BF6486"/>
    <w:rsid w:val="00C13338"/>
    <w:rsid w:val="00C13919"/>
    <w:rsid w:val="00C2037C"/>
    <w:rsid w:val="00C22C22"/>
    <w:rsid w:val="00C2310C"/>
    <w:rsid w:val="00C33B19"/>
    <w:rsid w:val="00CA61C3"/>
    <w:rsid w:val="00CF0C73"/>
    <w:rsid w:val="00D04477"/>
    <w:rsid w:val="00D32FE2"/>
    <w:rsid w:val="00D34DA4"/>
    <w:rsid w:val="00D4122A"/>
    <w:rsid w:val="00D81E72"/>
    <w:rsid w:val="00D870A2"/>
    <w:rsid w:val="00DA6FDB"/>
    <w:rsid w:val="00DC7D3B"/>
    <w:rsid w:val="00DE2D95"/>
    <w:rsid w:val="00E04060"/>
    <w:rsid w:val="00E15EFB"/>
    <w:rsid w:val="00E31A11"/>
    <w:rsid w:val="00E40949"/>
    <w:rsid w:val="00E513C7"/>
    <w:rsid w:val="00E57F5A"/>
    <w:rsid w:val="00E736FC"/>
    <w:rsid w:val="00E74D3D"/>
    <w:rsid w:val="00E81868"/>
    <w:rsid w:val="00EA39D5"/>
    <w:rsid w:val="00EB715A"/>
    <w:rsid w:val="00EC12BC"/>
    <w:rsid w:val="00EC37ED"/>
    <w:rsid w:val="00EF009D"/>
    <w:rsid w:val="00F01761"/>
    <w:rsid w:val="00F035F2"/>
    <w:rsid w:val="00F05C9E"/>
    <w:rsid w:val="00F10048"/>
    <w:rsid w:val="00F27150"/>
    <w:rsid w:val="00F36546"/>
    <w:rsid w:val="00F42D44"/>
    <w:rsid w:val="00F50831"/>
    <w:rsid w:val="00F548CF"/>
    <w:rsid w:val="00F74F2D"/>
    <w:rsid w:val="00F81883"/>
    <w:rsid w:val="00F941F5"/>
    <w:rsid w:val="00F95BF3"/>
    <w:rsid w:val="00F976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12"/>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character" w:styleId="PlaceholderText">
    <w:name w:val="Placeholder Text"/>
    <w:basedOn w:val="DefaultParagraphFont"/>
    <w:uiPriority w:val="99"/>
    <w:semiHidden/>
    <w:rsid w:val="00EC37ED"/>
    <w:rPr>
      <w:color w:val="808080"/>
    </w:rPr>
  </w:style>
  <w:style w:type="table" w:styleId="TableGrid">
    <w:name w:val="Table Grid"/>
    <w:basedOn w:val="TableNormal"/>
    <w:uiPriority w:val="59"/>
    <w:rsid w:val="005048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12"/>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character" w:styleId="PlaceholderText">
    <w:name w:val="Placeholder Text"/>
    <w:basedOn w:val="DefaultParagraphFont"/>
    <w:uiPriority w:val="99"/>
    <w:semiHidden/>
    <w:rsid w:val="00EC37ED"/>
    <w:rPr>
      <w:color w:val="808080"/>
    </w:rPr>
  </w:style>
  <w:style w:type="table" w:styleId="TableGrid">
    <w:name w:val="Table Grid"/>
    <w:basedOn w:val="TableNormal"/>
    <w:uiPriority w:val="59"/>
    <w:rsid w:val="005048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98091">
      <w:bodyDiv w:val="1"/>
      <w:marLeft w:val="0"/>
      <w:marRight w:val="0"/>
      <w:marTop w:val="0"/>
      <w:marBottom w:val="0"/>
      <w:divBdr>
        <w:top w:val="none" w:sz="0" w:space="0" w:color="auto"/>
        <w:left w:val="none" w:sz="0" w:space="0" w:color="auto"/>
        <w:bottom w:val="none" w:sz="0" w:space="0" w:color="auto"/>
        <w:right w:val="none" w:sz="0" w:space="0" w:color="auto"/>
      </w:divBdr>
    </w:div>
    <w:div w:id="192424458">
      <w:bodyDiv w:val="1"/>
      <w:marLeft w:val="0"/>
      <w:marRight w:val="0"/>
      <w:marTop w:val="0"/>
      <w:marBottom w:val="0"/>
      <w:divBdr>
        <w:top w:val="none" w:sz="0" w:space="0" w:color="auto"/>
        <w:left w:val="none" w:sz="0" w:space="0" w:color="auto"/>
        <w:bottom w:val="none" w:sz="0" w:space="0" w:color="auto"/>
        <w:right w:val="none" w:sz="0" w:space="0" w:color="auto"/>
      </w:divBdr>
    </w:div>
    <w:div w:id="827014394">
      <w:bodyDiv w:val="1"/>
      <w:marLeft w:val="0"/>
      <w:marRight w:val="0"/>
      <w:marTop w:val="0"/>
      <w:marBottom w:val="0"/>
      <w:divBdr>
        <w:top w:val="none" w:sz="0" w:space="0" w:color="auto"/>
        <w:left w:val="none" w:sz="0" w:space="0" w:color="auto"/>
        <w:bottom w:val="none" w:sz="0" w:space="0" w:color="auto"/>
        <w:right w:val="none" w:sz="0" w:space="0" w:color="auto"/>
      </w:divBdr>
    </w:div>
    <w:div w:id="1306202841">
      <w:bodyDiv w:val="1"/>
      <w:marLeft w:val="0"/>
      <w:marRight w:val="0"/>
      <w:marTop w:val="0"/>
      <w:marBottom w:val="0"/>
      <w:divBdr>
        <w:top w:val="none" w:sz="0" w:space="0" w:color="auto"/>
        <w:left w:val="none" w:sz="0" w:space="0" w:color="auto"/>
        <w:bottom w:val="none" w:sz="0" w:space="0" w:color="auto"/>
        <w:right w:val="none" w:sz="0" w:space="0" w:color="auto"/>
      </w:divBdr>
    </w:div>
    <w:div w:id="1342124533">
      <w:bodyDiv w:val="1"/>
      <w:marLeft w:val="0"/>
      <w:marRight w:val="0"/>
      <w:marTop w:val="0"/>
      <w:marBottom w:val="0"/>
      <w:divBdr>
        <w:top w:val="none" w:sz="0" w:space="0" w:color="auto"/>
        <w:left w:val="none" w:sz="0" w:space="0" w:color="auto"/>
        <w:bottom w:val="none" w:sz="0" w:space="0" w:color="auto"/>
        <w:right w:val="none" w:sz="0" w:space="0" w:color="auto"/>
      </w:divBdr>
    </w:div>
    <w:div w:id="1398817739">
      <w:bodyDiv w:val="1"/>
      <w:marLeft w:val="0"/>
      <w:marRight w:val="0"/>
      <w:marTop w:val="0"/>
      <w:marBottom w:val="0"/>
      <w:divBdr>
        <w:top w:val="none" w:sz="0" w:space="0" w:color="auto"/>
        <w:left w:val="none" w:sz="0" w:space="0" w:color="auto"/>
        <w:bottom w:val="none" w:sz="0" w:space="0" w:color="auto"/>
        <w:right w:val="none" w:sz="0" w:space="0" w:color="auto"/>
      </w:divBdr>
    </w:div>
    <w:div w:id="1703700412">
      <w:bodyDiv w:val="1"/>
      <w:marLeft w:val="0"/>
      <w:marRight w:val="0"/>
      <w:marTop w:val="0"/>
      <w:marBottom w:val="0"/>
      <w:divBdr>
        <w:top w:val="none" w:sz="0" w:space="0" w:color="auto"/>
        <w:left w:val="none" w:sz="0" w:space="0" w:color="auto"/>
        <w:bottom w:val="none" w:sz="0" w:space="0" w:color="auto"/>
        <w:right w:val="none" w:sz="0" w:space="0" w:color="auto"/>
      </w:divBdr>
    </w:div>
    <w:div w:id="1714110102">
      <w:bodyDiv w:val="1"/>
      <w:marLeft w:val="0"/>
      <w:marRight w:val="0"/>
      <w:marTop w:val="0"/>
      <w:marBottom w:val="0"/>
      <w:divBdr>
        <w:top w:val="none" w:sz="0" w:space="0" w:color="auto"/>
        <w:left w:val="none" w:sz="0" w:space="0" w:color="auto"/>
        <w:bottom w:val="none" w:sz="0" w:space="0" w:color="auto"/>
        <w:right w:val="none" w:sz="0" w:space="0" w:color="auto"/>
      </w:divBdr>
    </w:div>
    <w:div w:id="2078631532">
      <w:bodyDiv w:val="1"/>
      <w:marLeft w:val="0"/>
      <w:marRight w:val="0"/>
      <w:marTop w:val="0"/>
      <w:marBottom w:val="0"/>
      <w:divBdr>
        <w:top w:val="none" w:sz="0" w:space="0" w:color="auto"/>
        <w:left w:val="none" w:sz="0" w:space="0" w:color="auto"/>
        <w:bottom w:val="none" w:sz="0" w:space="0" w:color="auto"/>
        <w:right w:val="none" w:sz="0" w:space="0" w:color="auto"/>
      </w:divBdr>
    </w:div>
    <w:div w:id="212876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egander</cp:lastModifiedBy>
  <cp:revision>4</cp:revision>
  <cp:lastPrinted>2013-01-18T19:35:00Z</cp:lastPrinted>
  <dcterms:created xsi:type="dcterms:W3CDTF">2013-01-21T22:10:00Z</dcterms:created>
  <dcterms:modified xsi:type="dcterms:W3CDTF">2013-01-21T22:12:00Z</dcterms:modified>
</cp:coreProperties>
</file>